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6" w:type="dxa"/>
        <w:tblInd w:w="-884" w:type="dxa"/>
        <w:tblLayout w:type="fixed"/>
        <w:tblLook w:val="0000" w:firstRow="0" w:lastRow="0" w:firstColumn="0" w:lastColumn="0" w:noHBand="0" w:noVBand="0"/>
      </w:tblPr>
      <w:tblGrid>
        <w:gridCol w:w="978"/>
        <w:gridCol w:w="4480"/>
        <w:gridCol w:w="293"/>
        <w:gridCol w:w="4755"/>
      </w:tblGrid>
      <w:tr w:rsidR="00696E59" w:rsidRPr="0028226F" w:rsidTr="00AA0DA5">
        <w:trPr>
          <w:trHeight w:val="49"/>
        </w:trPr>
        <w:tc>
          <w:tcPr>
            <w:tcW w:w="978" w:type="dxa"/>
          </w:tcPr>
          <w:p w:rsidR="00696E59" w:rsidRDefault="00696E59" w:rsidP="00960309">
            <w:pPr>
              <w:autoSpaceDE/>
              <w:autoSpaceDN/>
              <w:adjustRightInd/>
              <w:ind w:rightChars="-111" w:right="-223"/>
              <w:rPr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4773" w:type="dxa"/>
            <w:gridSpan w:val="2"/>
          </w:tcPr>
          <w:p w:rsidR="00696E59" w:rsidRDefault="00696E59" w:rsidP="00960309">
            <w:pPr>
              <w:jc w:val="center"/>
              <w:rPr>
                <w:sz w:val="8"/>
                <w:szCs w:val="8"/>
                <w:lang w:val="de-DE"/>
              </w:rPr>
            </w:pPr>
          </w:p>
        </w:tc>
        <w:tc>
          <w:tcPr>
            <w:tcW w:w="4755" w:type="dxa"/>
          </w:tcPr>
          <w:p w:rsidR="00696E59" w:rsidRDefault="00696E59" w:rsidP="00960309">
            <w:pPr>
              <w:jc w:val="center"/>
              <w:rPr>
                <w:b w:val="0"/>
                <w:bCs w:val="0"/>
                <w:sz w:val="14"/>
                <w:szCs w:val="14"/>
                <w:lang w:val="be-BY"/>
              </w:rPr>
            </w:pPr>
          </w:p>
          <w:p w:rsidR="00696E59" w:rsidRDefault="00696E59" w:rsidP="00960309">
            <w:pPr>
              <w:jc w:val="center"/>
              <w:rPr>
                <w:sz w:val="8"/>
                <w:szCs w:val="8"/>
                <w:lang w:val="de-DE"/>
              </w:rPr>
            </w:pPr>
          </w:p>
        </w:tc>
      </w:tr>
      <w:tr w:rsidR="00696E59" w:rsidTr="00AA0DA5">
        <w:tblPrEx>
          <w:tblCellMar>
            <w:left w:w="0" w:type="dxa"/>
            <w:right w:w="0" w:type="dxa"/>
          </w:tblCellMar>
        </w:tblPrEx>
        <w:trPr>
          <w:gridBefore w:val="1"/>
          <w:wBefore w:w="979" w:type="dxa"/>
          <w:trHeight w:val="6"/>
        </w:trPr>
        <w:tc>
          <w:tcPr>
            <w:tcW w:w="4480" w:type="dxa"/>
          </w:tcPr>
          <w:p w:rsidR="00696E59" w:rsidRDefault="00696E59" w:rsidP="00960309">
            <w:pPr>
              <w:ind w:left="605"/>
              <w:rPr>
                <w:b w:val="0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696E59" w:rsidRDefault="00696E59" w:rsidP="00960309">
            <w:pPr>
              <w:rPr>
                <w:b w:val="0"/>
                <w:sz w:val="30"/>
                <w:szCs w:val="30"/>
              </w:rPr>
            </w:pPr>
          </w:p>
        </w:tc>
      </w:tr>
      <w:tr w:rsidR="00696E59" w:rsidTr="00AA0DA5">
        <w:tblPrEx>
          <w:tblCellMar>
            <w:left w:w="0" w:type="dxa"/>
            <w:right w:w="0" w:type="dxa"/>
          </w:tblCellMar>
        </w:tblPrEx>
        <w:trPr>
          <w:gridBefore w:val="1"/>
          <w:wBefore w:w="979" w:type="dxa"/>
          <w:trHeight w:val="4"/>
        </w:trPr>
        <w:tc>
          <w:tcPr>
            <w:tcW w:w="4480" w:type="dxa"/>
          </w:tcPr>
          <w:p w:rsidR="00696E59" w:rsidRDefault="00696E59" w:rsidP="00960309">
            <w:pPr>
              <w:ind w:left="605"/>
              <w:rPr>
                <w:b w:val="0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696E59" w:rsidRDefault="00696E59" w:rsidP="00960309">
            <w:pPr>
              <w:spacing w:line="280" w:lineRule="exact"/>
              <w:rPr>
                <w:b w:val="0"/>
                <w:sz w:val="30"/>
                <w:szCs w:val="30"/>
              </w:rPr>
            </w:pPr>
          </w:p>
        </w:tc>
      </w:tr>
    </w:tbl>
    <w:p w:rsidR="00842936" w:rsidRPr="003B640B" w:rsidRDefault="00696E59" w:rsidP="00842936">
      <w:pPr>
        <w:rPr>
          <w:b w:val="0"/>
          <w:sz w:val="30"/>
          <w:szCs w:val="30"/>
        </w:rPr>
      </w:pPr>
      <w:r w:rsidRPr="00785470">
        <w:rPr>
          <w:b w:val="0"/>
          <w:sz w:val="30"/>
          <w:szCs w:val="30"/>
        </w:rPr>
        <w:t xml:space="preserve">                                                               </w:t>
      </w:r>
      <w:r w:rsidR="00842936" w:rsidRPr="003B640B">
        <w:rPr>
          <w:b w:val="0"/>
          <w:sz w:val="30"/>
          <w:szCs w:val="30"/>
        </w:rPr>
        <w:t xml:space="preserve">                                                                            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42936" w:rsidRPr="003B640B" w:rsidTr="009D4A8F">
        <w:trPr>
          <w:trHeight w:val="360"/>
        </w:trPr>
        <w:tc>
          <w:tcPr>
            <w:tcW w:w="4675" w:type="dxa"/>
          </w:tcPr>
          <w:p w:rsidR="00842936" w:rsidRPr="003B640B" w:rsidRDefault="00842936" w:rsidP="009D4A8F">
            <w:pPr>
              <w:spacing w:after="2"/>
              <w:jc w:val="both"/>
              <w:rPr>
                <w:b w:val="0"/>
                <w:sz w:val="30"/>
                <w:szCs w:val="30"/>
              </w:rPr>
            </w:pPr>
            <w:r w:rsidRPr="003B640B">
              <w:rPr>
                <w:b w:val="0"/>
                <w:sz w:val="30"/>
                <w:szCs w:val="30"/>
              </w:rPr>
              <w:t>Приглашение к участию</w:t>
            </w:r>
          </w:p>
          <w:p w:rsidR="00842936" w:rsidRPr="003B640B" w:rsidRDefault="00842936" w:rsidP="009D4A8F">
            <w:pPr>
              <w:spacing w:after="2"/>
              <w:jc w:val="both"/>
              <w:rPr>
                <w:b w:val="0"/>
                <w:sz w:val="30"/>
                <w:szCs w:val="30"/>
              </w:rPr>
            </w:pPr>
            <w:r w:rsidRPr="003B640B">
              <w:rPr>
                <w:b w:val="0"/>
                <w:sz w:val="30"/>
                <w:szCs w:val="30"/>
              </w:rPr>
              <w:t>в процедуре закупки</w:t>
            </w:r>
          </w:p>
          <w:p w:rsidR="00842936" w:rsidRPr="003B640B" w:rsidRDefault="00842936" w:rsidP="009D4A8F">
            <w:pPr>
              <w:rPr>
                <w:b w:val="0"/>
                <w:sz w:val="30"/>
                <w:szCs w:val="30"/>
              </w:rPr>
            </w:pPr>
          </w:p>
        </w:tc>
        <w:tc>
          <w:tcPr>
            <w:tcW w:w="4675" w:type="dxa"/>
          </w:tcPr>
          <w:p w:rsidR="00842936" w:rsidRPr="003B640B" w:rsidRDefault="00842936" w:rsidP="009D4A8F">
            <w:pPr>
              <w:ind w:firstLineChars="11" w:firstLine="33"/>
              <w:rPr>
                <w:b w:val="0"/>
                <w:sz w:val="30"/>
                <w:szCs w:val="30"/>
              </w:rPr>
            </w:pPr>
          </w:p>
        </w:tc>
      </w:tr>
    </w:tbl>
    <w:p w:rsidR="00842936" w:rsidRPr="003B640B" w:rsidRDefault="00842936" w:rsidP="00842936">
      <w:pPr>
        <w:spacing w:after="2"/>
        <w:ind w:firstLine="709"/>
        <w:jc w:val="both"/>
        <w:rPr>
          <w:b w:val="0"/>
          <w:sz w:val="30"/>
          <w:szCs w:val="30"/>
        </w:rPr>
      </w:pPr>
      <w:r w:rsidRPr="003B640B">
        <w:rPr>
          <w:b w:val="0"/>
          <w:sz w:val="30"/>
          <w:szCs w:val="30"/>
        </w:rPr>
        <w:t>Филиал «Минская городская телефонная сеть» РУП «</w:t>
      </w:r>
      <w:proofErr w:type="spellStart"/>
      <w:r w:rsidRPr="003B640B">
        <w:rPr>
          <w:b w:val="0"/>
          <w:sz w:val="30"/>
          <w:szCs w:val="30"/>
        </w:rPr>
        <w:t>Белтелеком</w:t>
      </w:r>
      <w:proofErr w:type="spellEnd"/>
      <w:r w:rsidRPr="003B640B">
        <w:rPr>
          <w:b w:val="0"/>
          <w:sz w:val="30"/>
          <w:szCs w:val="30"/>
        </w:rPr>
        <w:t>» приглашает Вас</w:t>
      </w:r>
      <w:r w:rsidRPr="003B640B">
        <w:rPr>
          <w:rStyle w:val="ae"/>
          <w:b w:val="0"/>
          <w:i w:val="0"/>
          <w:sz w:val="30"/>
          <w:szCs w:val="30"/>
        </w:rPr>
        <w:t xml:space="preserve"> принять участие</w:t>
      </w:r>
      <w:r w:rsidRPr="003B640B">
        <w:rPr>
          <w:b w:val="0"/>
          <w:sz w:val="30"/>
          <w:szCs w:val="30"/>
        </w:rPr>
        <w:t xml:space="preserve"> в процедуре закупки программного обеспечения резервного копирования и восстановления данных. Характеристики</w:t>
      </w:r>
      <w:r>
        <w:rPr>
          <w:b w:val="0"/>
          <w:sz w:val="30"/>
          <w:szCs w:val="30"/>
        </w:rPr>
        <w:t xml:space="preserve"> приведены в таблице 1</w:t>
      </w:r>
      <w:r w:rsidRPr="003B640B">
        <w:rPr>
          <w:b w:val="0"/>
          <w:sz w:val="30"/>
          <w:szCs w:val="30"/>
        </w:rPr>
        <w:t>:</w:t>
      </w:r>
    </w:p>
    <w:p w:rsidR="00842936" w:rsidRPr="003B640B" w:rsidRDefault="00842936" w:rsidP="00842936">
      <w:pPr>
        <w:spacing w:after="2"/>
        <w:ind w:firstLine="709"/>
        <w:jc w:val="right"/>
        <w:rPr>
          <w:b w:val="0"/>
          <w:sz w:val="30"/>
          <w:szCs w:val="30"/>
        </w:rPr>
      </w:pPr>
      <w:r w:rsidRPr="003B640B">
        <w:rPr>
          <w:b w:val="0"/>
          <w:sz w:val="30"/>
          <w:szCs w:val="30"/>
        </w:rPr>
        <w:t>Таблица 1</w:t>
      </w:r>
    </w:p>
    <w:p w:rsidR="00842936" w:rsidRPr="003B640B" w:rsidRDefault="00842936" w:rsidP="00842936">
      <w:pPr>
        <w:spacing w:after="2"/>
        <w:ind w:firstLine="709"/>
        <w:jc w:val="right"/>
        <w:rPr>
          <w:b w:val="0"/>
          <w:sz w:val="30"/>
          <w:szCs w:val="3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6636"/>
        <w:gridCol w:w="851"/>
      </w:tblGrid>
      <w:tr w:rsidR="00842936" w:rsidRPr="003B640B" w:rsidTr="009D4A8F">
        <w:trPr>
          <w:trHeight w:val="5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№</w:t>
            </w:r>
          </w:p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</w:p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Наименование</w:t>
            </w:r>
          </w:p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Кол-во</w:t>
            </w:r>
          </w:p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шт.</w:t>
            </w:r>
          </w:p>
        </w:tc>
      </w:tr>
      <w:tr w:rsidR="00842936" w:rsidRPr="003B640B" w:rsidTr="009D4A8F">
        <w:trPr>
          <w:trHeight w:val="5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36" w:rsidRPr="003B640B" w:rsidRDefault="00842936" w:rsidP="009D4A8F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Программное обеспечение резервного копирования и восстановления данных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36" w:rsidRPr="003B640B" w:rsidRDefault="00842936" w:rsidP="009D4A8F">
            <w:pPr>
              <w:pStyle w:val="ab"/>
              <w:spacing w:before="0" w:beforeAutospacing="0" w:after="0" w:afterAutospacing="0" w:line="252" w:lineRule="auto"/>
              <w:rPr>
                <w:lang w:val="ru-RU" w:eastAsia="ru-RU"/>
              </w:rPr>
            </w:pPr>
            <w:r w:rsidRPr="003B640B">
              <w:rPr>
                <w:rFonts w:eastAsia="MS Mincho"/>
                <w:bCs/>
                <w:lang w:val="ru-RU" w:eastAsia="ja-JP"/>
              </w:rPr>
              <w:t>Сертификат соответствия требованиям безопасности ОАЦ при президенте РБ (</w:t>
            </w:r>
            <w:r w:rsidRPr="003B640B">
              <w:rPr>
                <w:lang w:val="ru-RU" w:eastAsia="ru-RU"/>
              </w:rPr>
              <w:t>СТБ 34.101.1-2014, СТБ 34.101.2-2014, СТБ 34.101.3-2014 (Задание по безопасности), ТР 2013/027/BY).</w:t>
            </w:r>
          </w:p>
          <w:p w:rsidR="00842936" w:rsidRPr="003B640B" w:rsidRDefault="00842936" w:rsidP="009D4A8F">
            <w:pPr>
              <w:pStyle w:val="ab"/>
              <w:spacing w:before="0" w:beforeAutospacing="0" w:after="0" w:afterAutospacing="0" w:line="252" w:lineRule="auto"/>
              <w:rPr>
                <w:lang w:val="ru-RU" w:eastAsia="ru-RU"/>
              </w:rPr>
            </w:pPr>
          </w:p>
          <w:p w:rsidR="00842936" w:rsidRPr="003B640B" w:rsidRDefault="00842936" w:rsidP="009D4A8F">
            <w:pPr>
              <w:pStyle w:val="ab"/>
              <w:spacing w:before="0" w:beforeAutospacing="0" w:after="0" w:afterAutospacing="0" w:line="252" w:lineRule="auto"/>
              <w:rPr>
                <w:rFonts w:eastAsia="MS Mincho"/>
                <w:bCs/>
                <w:lang w:val="ru-RU" w:eastAsia="ja-JP"/>
              </w:rPr>
            </w:pPr>
            <w:r w:rsidRPr="003B640B">
              <w:rPr>
                <w:rFonts w:eastAsia="MS Mincho"/>
                <w:bCs/>
                <w:lang w:val="ru-RU" w:eastAsia="ja-JP"/>
              </w:rPr>
              <w:t>Функции: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ind w:left="0" w:firstLine="360"/>
              <w:rPr>
                <w:sz w:val="22"/>
              </w:rPr>
            </w:pPr>
            <w:r w:rsidRPr="003B640B">
              <w:t>Полное, инкрементальное и дифференциальное резервное копирование;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ind w:left="0" w:firstLine="360"/>
            </w:pPr>
            <w:r w:rsidRPr="003B640B">
              <w:t>Автоматическая верификация сделанных резервных копий (размер файлов, md5 сумма, электронная подпись)</w:t>
            </w:r>
            <w:r>
              <w:t>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ind w:left="0" w:firstLine="360"/>
            </w:pPr>
            <w:r w:rsidRPr="003B640B">
              <w:t>Графический интерфейс управления как для пользователя, так и для администратора;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ind w:left="0" w:firstLine="360"/>
            </w:pPr>
            <w:r w:rsidRPr="003B640B">
              <w:t>Управление устройствами хранения резервных копий, возможность распределения резервных копий по разным устройствам хранения в зависимости от политики резервного копирования;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ind w:left="0" w:firstLine="360"/>
            </w:pPr>
            <w:r w:rsidRPr="003B640B">
              <w:t>Сжатие резервных копий на клиенте или на сервере</w:t>
            </w:r>
            <w:r>
              <w:t>.</w:t>
            </w:r>
          </w:p>
          <w:p w:rsidR="00842936" w:rsidRPr="003B640B" w:rsidRDefault="00842936" w:rsidP="009D4A8F">
            <w:pPr>
              <w:pStyle w:val="ad"/>
              <w:ind w:left="0" w:firstLine="360"/>
            </w:pPr>
            <w:r w:rsidRPr="003B640B">
              <w:t>Хранение резервных копий на СХД;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ind w:left="0" w:firstLine="360"/>
            </w:pPr>
            <w:proofErr w:type="spellStart"/>
            <w:r w:rsidRPr="003B640B">
              <w:t>Журналирование</w:t>
            </w:r>
            <w:proofErr w:type="spellEnd"/>
            <w:r w:rsidRPr="003B640B">
              <w:t xml:space="preserve"> всех действий администратора и системы в базе данных и системном журнале;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ind w:left="0" w:firstLine="360"/>
            </w:pPr>
            <w:r w:rsidRPr="003B640B">
              <w:t>Автоматическое перемещение резервных копий на другие носители и удаление устаревших копий;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</w:pPr>
            <w:r w:rsidRPr="003B640B">
              <w:t>Поддержка v2v миграции</w:t>
            </w:r>
            <w:r w:rsidRPr="003B640B">
              <w:rPr>
                <w:lang w:val="en-US"/>
              </w:rPr>
              <w:t>;</w:t>
            </w:r>
          </w:p>
          <w:p w:rsidR="00842936" w:rsidRPr="003B640B" w:rsidRDefault="00842936" w:rsidP="009D4A8F">
            <w:pPr>
              <w:pStyle w:val="ad"/>
              <w:numPr>
                <w:ilvl w:val="0"/>
                <w:numId w:val="1"/>
              </w:numPr>
              <w:rPr>
                <w:lang w:val="en-US"/>
              </w:rPr>
            </w:pPr>
            <w:r w:rsidRPr="003B640B">
              <w:t>Поддержка</w:t>
            </w:r>
            <w:r w:rsidRPr="003B640B">
              <w:rPr>
                <w:lang w:val="en-US"/>
              </w:rPr>
              <w:t xml:space="preserve"> CBT (Change Block Tracking);</w:t>
            </w:r>
          </w:p>
          <w:p w:rsidR="00842936" w:rsidRPr="003B640B" w:rsidRDefault="00842936" w:rsidP="009D4A8F">
            <w:pPr>
              <w:pStyle w:val="ab"/>
              <w:numPr>
                <w:ilvl w:val="0"/>
                <w:numId w:val="1"/>
              </w:numPr>
              <w:spacing w:before="0" w:beforeAutospacing="0" w:after="0" w:afterAutospacing="0" w:line="252" w:lineRule="auto"/>
              <w:ind w:left="0" w:firstLine="360"/>
              <w:rPr>
                <w:lang w:val="ru-RU" w:eastAsia="ru-RU"/>
              </w:rPr>
            </w:pPr>
            <w:r w:rsidRPr="003B640B">
              <w:rPr>
                <w:lang w:val="ru-RU" w:eastAsia="ru-RU"/>
              </w:rPr>
              <w:t xml:space="preserve">Резервное копирование виртуальных сред </w:t>
            </w:r>
            <w:proofErr w:type="spellStart"/>
            <w:r w:rsidRPr="003B640B">
              <w:rPr>
                <w:lang w:val="ru-RU" w:eastAsia="ru-RU"/>
              </w:rPr>
              <w:t>Hyper</w:t>
            </w:r>
            <w:proofErr w:type="spellEnd"/>
            <w:r w:rsidRPr="003B640B">
              <w:rPr>
                <w:lang w:val="ru-RU" w:eastAsia="ru-RU"/>
              </w:rPr>
              <w:t xml:space="preserve">-V, </w:t>
            </w:r>
            <w:proofErr w:type="spellStart"/>
            <w:r w:rsidRPr="003B640B">
              <w:rPr>
                <w:lang w:val="ru-RU" w:eastAsia="ru-RU"/>
              </w:rPr>
              <w:t>VmWareESX</w:t>
            </w:r>
            <w:proofErr w:type="spellEnd"/>
            <w:r w:rsidRPr="003B640B">
              <w:rPr>
                <w:lang w:val="ru-RU" w:eastAsia="ru-RU"/>
              </w:rPr>
              <w:t>;</w:t>
            </w:r>
          </w:p>
          <w:p w:rsidR="00842936" w:rsidRPr="003B640B" w:rsidRDefault="00842936" w:rsidP="009D4A8F">
            <w:pPr>
              <w:pStyle w:val="ab"/>
              <w:numPr>
                <w:ilvl w:val="0"/>
                <w:numId w:val="1"/>
              </w:numPr>
              <w:spacing w:before="0" w:beforeAutospacing="0" w:after="0" w:afterAutospacing="0" w:line="252" w:lineRule="auto"/>
              <w:ind w:left="0" w:firstLine="360"/>
              <w:rPr>
                <w:lang w:val="ru-RU" w:eastAsia="ru-RU"/>
              </w:rPr>
            </w:pPr>
            <w:r w:rsidRPr="003B640B">
              <w:rPr>
                <w:lang w:val="ru-RU" w:eastAsia="ru-RU"/>
              </w:rPr>
              <w:t xml:space="preserve">Горячее резервное копирование СУБД, автоматизированная процедура восстановления </w:t>
            </w:r>
            <w:proofErr w:type="spellStart"/>
            <w:r w:rsidRPr="003B640B">
              <w:rPr>
                <w:lang w:val="ru-RU" w:eastAsia="ru-RU"/>
              </w:rPr>
              <w:t>MySQL</w:t>
            </w:r>
            <w:proofErr w:type="spellEnd"/>
            <w:r w:rsidRPr="003B640B">
              <w:rPr>
                <w:lang w:val="ru-RU" w:eastAsia="ru-RU"/>
              </w:rPr>
              <w:t xml:space="preserve">, </w:t>
            </w:r>
            <w:proofErr w:type="spellStart"/>
            <w:r w:rsidRPr="003B640B">
              <w:rPr>
                <w:lang w:val="ru-RU" w:eastAsia="ru-RU"/>
              </w:rPr>
              <w:t>Mari</w:t>
            </w:r>
            <w:r>
              <w:rPr>
                <w:lang w:val="ru-RU" w:eastAsia="ru-RU"/>
              </w:rPr>
              <w:t>aDB</w:t>
            </w:r>
            <w:proofErr w:type="spellEnd"/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PostgreSQL</w:t>
            </w:r>
            <w:proofErr w:type="spellEnd"/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Oracle</w:t>
            </w:r>
            <w:proofErr w:type="spellEnd"/>
            <w:r>
              <w:rPr>
                <w:lang w:val="ru-RU" w:eastAsia="ru-RU"/>
              </w:rPr>
              <w:t>, MS SQL;</w:t>
            </w:r>
          </w:p>
          <w:p w:rsidR="00842936" w:rsidRPr="003B640B" w:rsidRDefault="00842936" w:rsidP="009D4A8F">
            <w:pPr>
              <w:pStyle w:val="ab"/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eastAsia="MS Mincho"/>
                <w:bCs/>
                <w:lang w:val="ru-RU" w:eastAsia="ja-JP"/>
              </w:rPr>
            </w:pPr>
            <w:r w:rsidRPr="003B640B">
              <w:rPr>
                <w:lang w:val="ru-RU" w:eastAsia="ru-RU"/>
              </w:rPr>
              <w:t>Бессрочная лицензия;</w:t>
            </w:r>
          </w:p>
          <w:p w:rsidR="00842936" w:rsidRPr="003B640B" w:rsidRDefault="00842936" w:rsidP="009D4A8F">
            <w:pPr>
              <w:pStyle w:val="ab"/>
              <w:numPr>
                <w:ilvl w:val="0"/>
                <w:numId w:val="1"/>
              </w:numPr>
              <w:spacing w:before="0" w:beforeAutospacing="0" w:after="0" w:afterAutospacing="0" w:line="252" w:lineRule="auto"/>
              <w:ind w:left="0" w:firstLine="360"/>
              <w:rPr>
                <w:rFonts w:eastAsia="MS Mincho"/>
                <w:bCs/>
                <w:lang w:val="ru-RU" w:eastAsia="ja-JP"/>
              </w:rPr>
            </w:pPr>
            <w:r w:rsidRPr="003B640B">
              <w:rPr>
                <w:lang w:val="ru-RU" w:eastAsia="ru-RU"/>
              </w:rPr>
              <w:t>Техническая поддержка не менее 1 года с возможностью продления;</w:t>
            </w:r>
          </w:p>
          <w:p w:rsidR="00842936" w:rsidRPr="003B640B" w:rsidRDefault="00842936" w:rsidP="009D4A8F">
            <w:pPr>
              <w:pStyle w:val="ab"/>
              <w:spacing w:before="0" w:beforeAutospacing="0" w:after="0" w:afterAutospacing="0" w:line="252" w:lineRule="auto"/>
              <w:ind w:left="720"/>
              <w:rPr>
                <w:rFonts w:eastAsia="MS Mincho"/>
                <w:bCs/>
                <w:lang w:val="ru-RU" w:eastAsia="ja-JP"/>
              </w:rPr>
            </w:pPr>
          </w:p>
          <w:p w:rsidR="00842936" w:rsidRPr="003B640B" w:rsidRDefault="00842936" w:rsidP="009D4A8F">
            <w:pPr>
              <w:pStyle w:val="ab"/>
              <w:spacing w:before="0" w:beforeAutospacing="0" w:after="0" w:afterAutospacing="0" w:line="252" w:lineRule="auto"/>
              <w:rPr>
                <w:lang w:val="ru-RU" w:eastAsia="ru-RU"/>
              </w:rPr>
            </w:pPr>
            <w:r w:rsidRPr="003B640B">
              <w:rPr>
                <w:lang w:val="ru-RU" w:eastAsia="ru-RU"/>
              </w:rPr>
              <w:t>Список оборудования, подлежащего резервного копированию:</w:t>
            </w:r>
          </w:p>
          <w:p w:rsidR="00842936" w:rsidRPr="003B640B" w:rsidRDefault="00842936" w:rsidP="009D4A8F">
            <w:pPr>
              <w:pStyle w:val="ab"/>
              <w:numPr>
                <w:ilvl w:val="0"/>
                <w:numId w:val="2"/>
              </w:numPr>
              <w:spacing w:before="0" w:beforeAutospacing="0" w:after="0" w:afterAutospacing="0" w:line="252" w:lineRule="auto"/>
              <w:rPr>
                <w:rFonts w:eastAsia="MS Mincho"/>
                <w:bCs/>
                <w:lang w:val="ru-RU" w:eastAsia="ja-JP"/>
              </w:rPr>
            </w:pPr>
            <w:r w:rsidRPr="003B640B">
              <w:rPr>
                <w:lang w:val="ru-RU" w:eastAsia="ru-RU"/>
              </w:rPr>
              <w:t xml:space="preserve">Кластер </w:t>
            </w:r>
            <w:proofErr w:type="spellStart"/>
            <w:r w:rsidRPr="003B640B">
              <w:rPr>
                <w:lang w:val="ru-RU" w:eastAsia="ru-RU"/>
              </w:rPr>
              <w:t>Hyper</w:t>
            </w:r>
            <w:proofErr w:type="spellEnd"/>
            <w:r w:rsidRPr="003B640B">
              <w:rPr>
                <w:lang w:val="ru-RU" w:eastAsia="ru-RU"/>
              </w:rPr>
              <w:t xml:space="preserve">-V (2 сервера, 4 </w:t>
            </w:r>
            <w:proofErr w:type="spellStart"/>
            <w:r w:rsidRPr="003B640B">
              <w:rPr>
                <w:lang w:val="ru-RU" w:eastAsia="ru-RU"/>
              </w:rPr>
              <w:t>socket</w:t>
            </w:r>
            <w:proofErr w:type="spellEnd"/>
            <w:r w:rsidRPr="003B640B">
              <w:rPr>
                <w:lang w:val="ru-RU" w:eastAsia="ru-RU"/>
              </w:rPr>
              <w:t xml:space="preserve">), </w:t>
            </w:r>
            <w:proofErr w:type="spellStart"/>
            <w:r w:rsidRPr="003B640B">
              <w:rPr>
                <w:lang w:val="ru-RU" w:eastAsia="ru-RU"/>
              </w:rPr>
              <w:t>VMware</w:t>
            </w:r>
            <w:proofErr w:type="spellEnd"/>
            <w:r w:rsidRPr="003B640B">
              <w:rPr>
                <w:lang w:val="ru-RU" w:eastAsia="ru-RU"/>
              </w:rPr>
              <w:t xml:space="preserve"> (2 сервера, 4 </w:t>
            </w:r>
            <w:proofErr w:type="spellStart"/>
            <w:r w:rsidRPr="003B640B">
              <w:rPr>
                <w:lang w:val="ru-RU" w:eastAsia="ru-RU"/>
              </w:rPr>
              <w:t>socket</w:t>
            </w:r>
            <w:proofErr w:type="spellEnd"/>
            <w:r w:rsidRPr="003B640B">
              <w:rPr>
                <w:lang w:val="ru-RU" w:eastAsia="ru-RU"/>
              </w:rPr>
              <w:t>);</w:t>
            </w:r>
          </w:p>
          <w:p w:rsidR="00842936" w:rsidRPr="003B640B" w:rsidRDefault="00842936" w:rsidP="009D4A8F">
            <w:pPr>
              <w:pStyle w:val="ab"/>
              <w:numPr>
                <w:ilvl w:val="0"/>
                <w:numId w:val="2"/>
              </w:numPr>
              <w:spacing w:before="0" w:beforeAutospacing="0" w:after="0" w:afterAutospacing="0" w:line="252" w:lineRule="auto"/>
              <w:rPr>
                <w:rFonts w:eastAsia="MS Mincho"/>
                <w:bCs/>
                <w:lang w:val="ru-RU" w:eastAsia="ja-JP"/>
              </w:rPr>
            </w:pPr>
            <w:r w:rsidRPr="003B640B">
              <w:rPr>
                <w:rFonts w:eastAsia="MS Mincho"/>
                <w:bCs/>
                <w:lang w:val="ru-RU" w:eastAsia="ja-JP"/>
              </w:rPr>
              <w:t>Объем хранилищ резервных копий – 30 ТБ;</w:t>
            </w:r>
          </w:p>
          <w:p w:rsidR="00842936" w:rsidRPr="003B640B" w:rsidRDefault="00842936" w:rsidP="009D4A8F">
            <w:pPr>
              <w:pStyle w:val="ab"/>
              <w:numPr>
                <w:ilvl w:val="0"/>
                <w:numId w:val="2"/>
              </w:numPr>
              <w:spacing w:before="0" w:beforeAutospacing="0" w:after="0" w:afterAutospacing="0" w:line="252" w:lineRule="auto"/>
              <w:rPr>
                <w:rFonts w:eastAsia="MS Mincho"/>
                <w:bCs/>
                <w:lang w:val="ru-RU" w:eastAsia="ja-JP"/>
              </w:rPr>
            </w:pPr>
            <w:r w:rsidRPr="003B640B">
              <w:rPr>
                <w:rFonts w:eastAsia="MS Mincho"/>
                <w:bCs/>
                <w:lang w:val="ru-RU" w:eastAsia="ja-JP"/>
              </w:rPr>
              <w:t>Количество виртуальных машин – до 50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36" w:rsidRPr="003B640B" w:rsidRDefault="00842936" w:rsidP="009D4A8F">
            <w:pPr>
              <w:pStyle w:val="ac"/>
              <w:spacing w:line="252" w:lineRule="auto"/>
              <w:jc w:val="center"/>
              <w:rPr>
                <w:sz w:val="24"/>
                <w:szCs w:val="24"/>
              </w:rPr>
            </w:pPr>
            <w:r w:rsidRPr="003B640B">
              <w:rPr>
                <w:sz w:val="24"/>
                <w:szCs w:val="24"/>
              </w:rPr>
              <w:t>1</w:t>
            </w:r>
          </w:p>
        </w:tc>
      </w:tr>
    </w:tbl>
    <w:p w:rsidR="00842936" w:rsidRPr="003B640B" w:rsidRDefault="00842936" w:rsidP="00842936">
      <w:pPr>
        <w:spacing w:after="2"/>
        <w:jc w:val="both"/>
        <w:rPr>
          <w:b w:val="0"/>
          <w:sz w:val="30"/>
          <w:szCs w:val="30"/>
        </w:rPr>
      </w:pPr>
    </w:p>
    <w:p w:rsidR="00842936" w:rsidRPr="003B640B" w:rsidRDefault="00842936" w:rsidP="00842936">
      <w:pPr>
        <w:spacing w:after="2"/>
        <w:ind w:firstLine="709"/>
        <w:jc w:val="right"/>
        <w:rPr>
          <w:b w:val="0"/>
          <w:sz w:val="30"/>
          <w:szCs w:val="30"/>
        </w:rPr>
      </w:pPr>
      <w:r w:rsidRPr="003B640B">
        <w:rPr>
          <w:b w:val="0"/>
          <w:szCs w:val="24"/>
        </w:rPr>
        <w:t xml:space="preserve"> </w:t>
      </w:r>
    </w:p>
    <w:p w:rsidR="00842936" w:rsidRPr="003B640B" w:rsidRDefault="00842936" w:rsidP="00842936">
      <w:pPr>
        <w:shd w:val="clear" w:color="auto" w:fill="FFFFFF" w:themeFill="background1"/>
        <w:spacing w:after="2"/>
        <w:ind w:firstLine="709"/>
        <w:jc w:val="both"/>
        <w:rPr>
          <w:b w:val="0"/>
          <w:sz w:val="30"/>
          <w:szCs w:val="30"/>
        </w:rPr>
      </w:pPr>
      <w:r w:rsidRPr="003B640B">
        <w:rPr>
          <w:b w:val="0"/>
          <w:sz w:val="30"/>
          <w:szCs w:val="30"/>
        </w:rPr>
        <w:t>Код ОКРБ: 62.01.29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</w:rPr>
      </w:pPr>
      <w:r w:rsidRPr="003B640B">
        <w:rPr>
          <w:rStyle w:val="ae"/>
          <w:b w:val="0"/>
          <w:i w:val="0"/>
          <w:sz w:val="30"/>
          <w:szCs w:val="30"/>
        </w:rPr>
        <w:t>Вид процедуры закупки и обоснование ее выбора: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Процедура оформления конкурентного листа, в связи с ориентировочной стоимостью закупки до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 от 01 февраля 2021г. №60 «О закупках товаров, работ и услуг РУП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», Приказом филиала «Минская городская телефонная сеть» РУП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 от 24.02.2021 № 81 «О закупках товаров (работ, услуг) в филиале «Минская городская телефонная сеть РУП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Сведения об организации: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Республиканское унитарное предприятие электросвязи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 филиал «Минская городская телефонная сеть» РУП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», 220073 г.Минск ул. Харьковская,1.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Ориентировочная стоимость закупки и порядок оплаты:</w:t>
      </w:r>
    </w:p>
    <w:p w:rsidR="00842936" w:rsidRPr="003B640B" w:rsidRDefault="00842936" w:rsidP="00842936">
      <w:pPr>
        <w:spacing w:after="2"/>
        <w:ind w:firstLine="709"/>
        <w:jc w:val="both"/>
        <w:rPr>
          <w:b w:val="0"/>
        </w:rPr>
      </w:pPr>
      <w:r w:rsidRPr="003B640B">
        <w:rPr>
          <w:rStyle w:val="ae"/>
          <w:b w:val="0"/>
          <w:i w:val="0"/>
          <w:sz w:val="30"/>
          <w:szCs w:val="30"/>
        </w:rPr>
        <w:t xml:space="preserve">Ориентировочная стоимость закупки - до 1000 базовых величин с учетом всех налогов, отчислений, транспортных расходов и иных обязательных </w:t>
      </w:r>
      <w:r w:rsidRPr="008B2897">
        <w:rPr>
          <w:rStyle w:val="ae"/>
          <w:b w:val="0"/>
          <w:i w:val="0"/>
          <w:sz w:val="30"/>
          <w:szCs w:val="30"/>
        </w:rPr>
        <w:t>платежей. Условия по оплате должны быть не хуже следующих: 10</w:t>
      </w:r>
      <w:r w:rsidRPr="008B2897">
        <w:rPr>
          <w:b w:val="0"/>
          <w:sz w:val="30"/>
          <w:szCs w:val="30"/>
        </w:rPr>
        <w:t>0% в качестве предварительной оплаты в течение 5 (пяти) банковских дней с момента заключения договора.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</w:rPr>
      </w:pPr>
      <w:r w:rsidRPr="003B640B">
        <w:rPr>
          <w:rStyle w:val="ae"/>
          <w:b w:val="0"/>
          <w:i w:val="0"/>
          <w:sz w:val="30"/>
          <w:szCs w:val="30"/>
        </w:rPr>
        <w:t>Источник финансирования: собственные средства филиала «Минская городская телефонная сеть» РУП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Срок и условия поставки: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 xml:space="preserve">Срок предоставлении услуги – не более 90 календарных дней с момента подписания договора обеими сторонами. 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Требования к участникам процедуры закупки:</w:t>
      </w:r>
    </w:p>
    <w:p w:rsidR="00842936" w:rsidRPr="003B640B" w:rsidRDefault="00842936" w:rsidP="00842936">
      <w:pPr>
        <w:spacing w:after="2"/>
        <w:ind w:firstLine="709"/>
        <w:jc w:val="both"/>
        <w:rPr>
          <w:b w:val="0"/>
        </w:rPr>
      </w:pPr>
      <w:r w:rsidRPr="003B640B">
        <w:rPr>
          <w:b w:val="0"/>
          <w:iCs/>
          <w:sz w:val="30"/>
          <w:szCs w:val="30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организационно–правовой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счет собственных средств,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</w:rPr>
      </w:pPr>
      <w:r w:rsidRPr="003B640B">
        <w:rPr>
          <w:rStyle w:val="ae"/>
          <w:b w:val="0"/>
          <w:i w:val="0"/>
          <w:sz w:val="30"/>
          <w:szCs w:val="30"/>
        </w:rPr>
        <w:t xml:space="preserve">В целях соблюдения приоритетности закупок у производителей или их сбытовых организаций (официальных торговых представителей, </w:t>
      </w:r>
      <w:r w:rsidRPr="003B640B">
        <w:rPr>
          <w:b w:val="0"/>
          <w:sz w:val="30"/>
          <w:szCs w:val="30"/>
        </w:rPr>
        <w:t>уполномоченных производителем на реализацию техники, относящейся к предмету закупки</w:t>
      </w:r>
      <w:r w:rsidRPr="003B640B">
        <w:rPr>
          <w:rStyle w:val="ae"/>
          <w:b w:val="0"/>
          <w:i w:val="0"/>
          <w:sz w:val="30"/>
          <w:szCs w:val="30"/>
        </w:rPr>
        <w:t xml:space="preserve">), отклоняется предложение участника процедуры оформления конкурентного листа, не имеющие аккредитованной испытательной лаборатории в области безопасности информации, не являющегося производителем или его сбытовой организацией (официальным торговым представителем), в случае, если в процедуре </w:t>
      </w:r>
      <w:r w:rsidRPr="003B640B">
        <w:rPr>
          <w:rStyle w:val="ae"/>
          <w:b w:val="0"/>
          <w:i w:val="0"/>
          <w:sz w:val="30"/>
          <w:szCs w:val="30"/>
        </w:rPr>
        <w:lastRenderedPageBreak/>
        <w:t>оформления конкурентного листа участвует не менее одного производителя и (или) сбытовой организации (официального торгового представителя) и цена предложения такого участника не ниже цены участвующего в процедуре оформления конкурентного листа производителя и (или) его сбытовой организации (официального торгового представителя.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Предложение участника должно содержать следующие документы и сведения:</w:t>
      </w:r>
    </w:p>
    <w:p w:rsidR="00842936" w:rsidRPr="003B640B" w:rsidRDefault="00842936" w:rsidP="00842936">
      <w:pPr>
        <w:widowControl/>
        <w:numPr>
          <w:ilvl w:val="0"/>
          <w:numId w:val="3"/>
        </w:numPr>
        <w:tabs>
          <w:tab w:val="left" w:pos="993"/>
          <w:tab w:val="left" w:pos="2694"/>
        </w:tabs>
        <w:autoSpaceDE/>
        <w:autoSpaceDN/>
        <w:adjustRightInd/>
        <w:spacing w:afterLines="1" w:after="2"/>
        <w:ind w:left="0" w:firstLine="709"/>
        <w:jc w:val="both"/>
        <w:rPr>
          <w:rStyle w:val="ae"/>
          <w:b w:val="0"/>
          <w:i w:val="0"/>
          <w:iCs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наименование, юридический адрес, банковские реквизиты Участника;</w:t>
      </w:r>
    </w:p>
    <w:p w:rsidR="00842936" w:rsidRPr="003B640B" w:rsidRDefault="00842936" w:rsidP="00842936">
      <w:pPr>
        <w:widowControl/>
        <w:numPr>
          <w:ilvl w:val="0"/>
          <w:numId w:val="3"/>
        </w:numPr>
        <w:tabs>
          <w:tab w:val="left" w:pos="993"/>
          <w:tab w:val="left" w:pos="2694"/>
        </w:tabs>
        <w:autoSpaceDE/>
        <w:autoSpaceDN/>
        <w:adjustRightInd/>
        <w:spacing w:afterLines="1" w:after="2"/>
        <w:ind w:left="0" w:firstLine="709"/>
        <w:jc w:val="both"/>
        <w:rPr>
          <w:b w:val="0"/>
        </w:rPr>
      </w:pPr>
      <w:r w:rsidRPr="003B640B">
        <w:rPr>
          <w:b w:val="0"/>
          <w:sz w:val="30"/>
          <w:szCs w:val="30"/>
        </w:rPr>
        <w:t>цену за единицу продукции в белорусских рублях;</w:t>
      </w:r>
    </w:p>
    <w:p w:rsidR="00842936" w:rsidRPr="003B640B" w:rsidRDefault="00842936" w:rsidP="0084293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afterLines="1" w:after="2"/>
        <w:ind w:left="0" w:firstLine="709"/>
        <w:jc w:val="both"/>
        <w:rPr>
          <w:b w:val="0"/>
          <w:iCs/>
          <w:sz w:val="30"/>
          <w:szCs w:val="30"/>
        </w:rPr>
      </w:pPr>
      <w:r w:rsidRPr="003B640B">
        <w:rPr>
          <w:b w:val="0"/>
          <w:sz w:val="30"/>
          <w:szCs w:val="30"/>
        </w:rPr>
        <w:t>общую стоимость продукции в белорусских рублях с НДС;</w:t>
      </w:r>
    </w:p>
    <w:p w:rsidR="00842936" w:rsidRPr="003B640B" w:rsidRDefault="00842936" w:rsidP="0084293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afterLines="1" w:after="2"/>
        <w:ind w:left="0" w:firstLine="709"/>
        <w:jc w:val="both"/>
        <w:rPr>
          <w:b w:val="0"/>
          <w:iCs/>
          <w:sz w:val="30"/>
          <w:szCs w:val="30"/>
        </w:rPr>
      </w:pPr>
      <w:r w:rsidRPr="003B640B">
        <w:rPr>
          <w:b w:val="0"/>
          <w:sz w:val="30"/>
          <w:szCs w:val="30"/>
        </w:rPr>
        <w:t>условия оплаты;</w:t>
      </w:r>
    </w:p>
    <w:p w:rsidR="00842936" w:rsidRPr="003B640B" w:rsidRDefault="00842936" w:rsidP="0084293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afterLines="1" w:after="2"/>
        <w:ind w:left="0"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о сроке действия Предложения - не менее 30 дней после даты подачи Предложения.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Предложение участника должно быть подписано уполномоченным лицом с указанием даты, содержать контактные данные (Ф.И.О., номер телефона) и быть заверено оригинальной печатью.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Филиалом «Минская городская телефонная сеть» РУП «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Белтелеком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>» к рассмотрению принимаются только те коммерческие предложения, которые отвечают всем вышеуказанным требованиям.</w:t>
      </w:r>
    </w:p>
    <w:p w:rsidR="00842936" w:rsidRPr="003B640B" w:rsidRDefault="00842936" w:rsidP="00842936">
      <w:pPr>
        <w:tabs>
          <w:tab w:val="left" w:pos="7088"/>
        </w:tabs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 xml:space="preserve">Критерием оценки предложений участников </w:t>
      </w:r>
      <w:proofErr w:type="gramStart"/>
      <w:r w:rsidRPr="003B640B">
        <w:rPr>
          <w:rStyle w:val="ae"/>
          <w:b w:val="0"/>
          <w:i w:val="0"/>
          <w:sz w:val="30"/>
          <w:szCs w:val="30"/>
        </w:rPr>
        <w:t xml:space="preserve">является </w:t>
      </w:r>
      <w:r>
        <w:rPr>
          <w:rStyle w:val="ae"/>
          <w:b w:val="0"/>
          <w:i w:val="0"/>
          <w:sz w:val="30"/>
          <w:szCs w:val="30"/>
        </w:rPr>
        <w:t xml:space="preserve"> наименьшая</w:t>
      </w:r>
      <w:proofErr w:type="gramEnd"/>
      <w:r>
        <w:rPr>
          <w:rStyle w:val="ae"/>
          <w:b w:val="0"/>
          <w:i w:val="0"/>
          <w:sz w:val="30"/>
          <w:szCs w:val="30"/>
        </w:rPr>
        <w:t xml:space="preserve"> </w:t>
      </w:r>
      <w:r w:rsidRPr="003B640B">
        <w:rPr>
          <w:b w:val="0"/>
          <w:sz w:val="30"/>
          <w:szCs w:val="30"/>
        </w:rPr>
        <w:t xml:space="preserve">стоимость при условии полного соответствия всем </w:t>
      </w:r>
      <w:r w:rsidRPr="003B640B">
        <w:rPr>
          <w:rStyle w:val="ae"/>
          <w:b w:val="0"/>
          <w:i w:val="0"/>
          <w:sz w:val="30"/>
          <w:szCs w:val="30"/>
        </w:rPr>
        <w:t>вышеуказанным</w:t>
      </w:r>
      <w:r w:rsidRPr="003B640B">
        <w:rPr>
          <w:b w:val="0"/>
          <w:sz w:val="30"/>
          <w:szCs w:val="30"/>
        </w:rPr>
        <w:t xml:space="preserve"> требованиям Заказчика.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Предложение участника может быть передано на факс (017) 293-39-</w:t>
      </w:r>
      <w:r w:rsidRPr="00BC64C1">
        <w:rPr>
          <w:rStyle w:val="ae"/>
          <w:b w:val="0"/>
          <w:i w:val="0"/>
          <w:sz w:val="30"/>
          <w:szCs w:val="30"/>
        </w:rPr>
        <w:t xml:space="preserve">69 или на электронную почту </w:t>
      </w:r>
      <w:proofErr w:type="spellStart"/>
      <w:r w:rsidRPr="00BC64C1">
        <w:rPr>
          <w:rFonts w:eastAsia="Helvetica"/>
          <w:b w:val="0"/>
          <w:color w:val="313131"/>
          <w:sz w:val="30"/>
          <w:szCs w:val="30"/>
          <w:shd w:val="clear" w:color="auto" w:fill="FFFFFF"/>
          <w:lang w:val="en-US"/>
        </w:rPr>
        <w:t>kospl</w:t>
      </w:r>
      <w:proofErr w:type="spellEnd"/>
      <w:r w:rsidRPr="00BC64C1">
        <w:rPr>
          <w:rFonts w:eastAsia="Helvetica"/>
          <w:b w:val="0"/>
          <w:color w:val="313131"/>
          <w:sz w:val="30"/>
          <w:szCs w:val="30"/>
          <w:shd w:val="clear" w:color="auto" w:fill="FFFFFF"/>
        </w:rPr>
        <w:t>@mgts.by</w:t>
      </w:r>
      <w:r w:rsidRPr="00BC64C1">
        <w:rPr>
          <w:rStyle w:val="ae"/>
          <w:b w:val="0"/>
          <w:i w:val="0"/>
          <w:sz w:val="30"/>
          <w:szCs w:val="30"/>
        </w:rPr>
        <w:t xml:space="preserve"> до 16:00 </w:t>
      </w:r>
      <w:r>
        <w:rPr>
          <w:rStyle w:val="ae"/>
          <w:b w:val="0"/>
          <w:i w:val="0"/>
          <w:sz w:val="30"/>
          <w:szCs w:val="30"/>
        </w:rPr>
        <w:t>15.11.2024.</w:t>
      </w:r>
    </w:p>
    <w:p w:rsidR="00842936" w:rsidRPr="003B640B" w:rsidRDefault="00842936" w:rsidP="00842936">
      <w:pPr>
        <w:spacing w:after="2"/>
        <w:ind w:firstLine="709"/>
        <w:jc w:val="both"/>
        <w:rPr>
          <w:rStyle w:val="ae"/>
          <w:b w:val="0"/>
          <w:i w:val="0"/>
          <w:sz w:val="30"/>
          <w:szCs w:val="30"/>
        </w:rPr>
      </w:pPr>
      <w:r w:rsidRPr="003B640B">
        <w:rPr>
          <w:rStyle w:val="ae"/>
          <w:b w:val="0"/>
          <w:i w:val="0"/>
          <w:sz w:val="30"/>
          <w:szCs w:val="30"/>
        </w:rPr>
        <w:t>Ответственным лицом за предмет закупки с учетом данных участников при проведении процедуры закупки является начальник участка ИТУС ЦАСУ Плышевский Константин Михайлович (017) 268-54-55, по техническим вопросам: ведущий инженер-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системотехник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 xml:space="preserve"> участка ИТУС ЦАСУ </w:t>
      </w:r>
      <w:proofErr w:type="spellStart"/>
      <w:r w:rsidRPr="003B640B">
        <w:rPr>
          <w:rStyle w:val="ae"/>
          <w:b w:val="0"/>
          <w:i w:val="0"/>
          <w:sz w:val="30"/>
          <w:szCs w:val="30"/>
        </w:rPr>
        <w:t>Сильванович</w:t>
      </w:r>
      <w:proofErr w:type="spellEnd"/>
      <w:r w:rsidRPr="003B640B">
        <w:rPr>
          <w:rStyle w:val="ae"/>
          <w:b w:val="0"/>
          <w:i w:val="0"/>
          <w:sz w:val="30"/>
          <w:szCs w:val="30"/>
        </w:rPr>
        <w:t xml:space="preserve"> Александр Александрович (017) 266-22-36.</w:t>
      </w:r>
    </w:p>
    <w:p w:rsidR="00842936" w:rsidRPr="003B640B" w:rsidRDefault="00842936" w:rsidP="00842936">
      <w:pPr>
        <w:spacing w:after="2"/>
        <w:ind w:firstLine="709"/>
        <w:jc w:val="both"/>
        <w:rPr>
          <w:b w:val="0"/>
        </w:rPr>
      </w:pPr>
    </w:p>
    <w:p w:rsidR="00842936" w:rsidRPr="003B640B" w:rsidRDefault="00842936" w:rsidP="00842936">
      <w:pPr>
        <w:spacing w:after="2"/>
        <w:ind w:firstLine="709"/>
        <w:jc w:val="both"/>
        <w:rPr>
          <w:b w:val="0"/>
          <w:sz w:val="30"/>
          <w:szCs w:val="30"/>
        </w:rPr>
      </w:pPr>
    </w:p>
    <w:p w:rsidR="00696E59" w:rsidRDefault="00696E59" w:rsidP="00842936">
      <w:pPr>
        <w:tabs>
          <w:tab w:val="left" w:pos="720"/>
        </w:tabs>
        <w:spacing w:after="2"/>
        <w:rPr>
          <w:b w:val="0"/>
          <w:sz w:val="30"/>
          <w:szCs w:val="30"/>
          <w:lang w:val="be-BY"/>
        </w:rPr>
      </w:pPr>
      <w:bookmarkStart w:id="0" w:name="_GoBack"/>
      <w:bookmarkEnd w:id="0"/>
    </w:p>
    <w:p w:rsidR="008817B9" w:rsidRPr="00696E59" w:rsidRDefault="008817B9" w:rsidP="00696E59"/>
    <w:sectPr w:rsidR="008817B9" w:rsidRPr="00696E59" w:rsidSect="00AA0DA5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6" w:h="16838"/>
      <w:pgMar w:top="0" w:right="566" w:bottom="426" w:left="1701" w:header="284" w:footer="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11" w:rsidRDefault="001F1C11">
      <w:r>
        <w:separator/>
      </w:r>
    </w:p>
  </w:endnote>
  <w:endnote w:type="continuationSeparator" w:id="0">
    <w:p w:rsidR="001F1C11" w:rsidRDefault="001F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86" w:rsidRDefault="00925A86">
    <w:pPr>
      <w:pStyle w:val="a8"/>
      <w:tabs>
        <w:tab w:val="left" w:pos="4223"/>
      </w:tabs>
      <w:rPr>
        <w:sz w:val="2"/>
        <w:szCs w:val="30"/>
      </w:rPr>
    </w:pPr>
  </w:p>
  <w:p w:rsidR="00925A86" w:rsidRDefault="00925A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86" w:rsidRDefault="00EA3A70">
    <w:pPr>
      <w:pStyle w:val="a8"/>
      <w:tabs>
        <w:tab w:val="left" w:pos="4223"/>
      </w:tabs>
      <w:rPr>
        <w:sz w:val="2"/>
        <w:szCs w:val="30"/>
      </w:rPr>
    </w:pPr>
    <w:r>
      <w:rPr>
        <w:sz w:val="2"/>
        <w:szCs w:val="30"/>
      </w:rPr>
      <w:t xml:space="preserve">      </w:t>
    </w:r>
  </w:p>
  <w:p w:rsidR="00925A86" w:rsidRDefault="00925A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11" w:rsidRDefault="001F1C11">
      <w:r>
        <w:separator/>
      </w:r>
    </w:p>
  </w:footnote>
  <w:footnote w:type="continuationSeparator" w:id="0">
    <w:p w:rsidR="001F1C11" w:rsidRDefault="001F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86" w:rsidRDefault="00EA3A70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25A86" w:rsidRDefault="00925A8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86" w:rsidRDefault="00EA3A70">
    <w:pPr>
      <w:pStyle w:val="a9"/>
      <w:framePr w:wrap="around" w:vAnchor="text" w:hAnchor="margin" w:xAlign="center" w:y="1"/>
      <w:rPr>
        <w:rStyle w:val="a3"/>
        <w:b w:val="0"/>
        <w:sz w:val="28"/>
        <w:szCs w:val="28"/>
      </w:rPr>
    </w:pPr>
    <w:r>
      <w:rPr>
        <w:b w:val="0"/>
        <w:sz w:val="28"/>
        <w:szCs w:val="28"/>
      </w:rPr>
      <w:fldChar w:fldCharType="begin"/>
    </w:r>
    <w:r>
      <w:rPr>
        <w:rStyle w:val="a3"/>
        <w:b w:val="0"/>
        <w:sz w:val="28"/>
        <w:szCs w:val="28"/>
      </w:rPr>
      <w:instrText xml:space="preserve">PAGE  </w:instrText>
    </w:r>
    <w:r>
      <w:rPr>
        <w:b w:val="0"/>
        <w:sz w:val="28"/>
        <w:szCs w:val="28"/>
      </w:rPr>
      <w:fldChar w:fldCharType="separate"/>
    </w:r>
    <w:r w:rsidR="00AA0DA5">
      <w:rPr>
        <w:rStyle w:val="a3"/>
        <w:b w:val="0"/>
        <w:noProof/>
        <w:sz w:val="28"/>
        <w:szCs w:val="28"/>
      </w:rPr>
      <w:t>3</w:t>
    </w:r>
    <w:r>
      <w:rPr>
        <w:b w:val="0"/>
        <w:sz w:val="28"/>
        <w:szCs w:val="28"/>
      </w:rPr>
      <w:fldChar w:fldCharType="end"/>
    </w:r>
  </w:p>
  <w:p w:rsidR="00925A86" w:rsidRDefault="00925A8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01A4"/>
    <w:multiLevelType w:val="hybridMultilevel"/>
    <w:tmpl w:val="F348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35143"/>
    <w:multiLevelType w:val="multilevel"/>
    <w:tmpl w:val="5D23514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DE7852"/>
    <w:multiLevelType w:val="hybridMultilevel"/>
    <w:tmpl w:val="C6B6CD34"/>
    <w:lvl w:ilvl="0" w:tplc="FA4241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B9"/>
    <w:rsid w:val="000038EB"/>
    <w:rsid w:val="00034094"/>
    <w:rsid w:val="00040346"/>
    <w:rsid w:val="000463E3"/>
    <w:rsid w:val="0006643B"/>
    <w:rsid w:val="00087D22"/>
    <w:rsid w:val="00090A79"/>
    <w:rsid w:val="00092E15"/>
    <w:rsid w:val="000A0B4C"/>
    <w:rsid w:val="000A1241"/>
    <w:rsid w:val="000A6EA8"/>
    <w:rsid w:val="000C38F1"/>
    <w:rsid w:val="000D1F00"/>
    <w:rsid w:val="000D6F8B"/>
    <w:rsid w:val="000E62C2"/>
    <w:rsid w:val="00101E8F"/>
    <w:rsid w:val="00102725"/>
    <w:rsid w:val="001323F5"/>
    <w:rsid w:val="001357E0"/>
    <w:rsid w:val="00144BFF"/>
    <w:rsid w:val="001535B9"/>
    <w:rsid w:val="001713C5"/>
    <w:rsid w:val="00174CD3"/>
    <w:rsid w:val="00182FE8"/>
    <w:rsid w:val="001939E6"/>
    <w:rsid w:val="001967AC"/>
    <w:rsid w:val="001A33C8"/>
    <w:rsid w:val="001A74AB"/>
    <w:rsid w:val="001C1D35"/>
    <w:rsid w:val="001C3E9C"/>
    <w:rsid w:val="001C4CE2"/>
    <w:rsid w:val="001C4FE3"/>
    <w:rsid w:val="001D316D"/>
    <w:rsid w:val="001D378E"/>
    <w:rsid w:val="001E664F"/>
    <w:rsid w:val="001F1C11"/>
    <w:rsid w:val="001F5D16"/>
    <w:rsid w:val="001F796A"/>
    <w:rsid w:val="002248FF"/>
    <w:rsid w:val="00264F0C"/>
    <w:rsid w:val="0028226F"/>
    <w:rsid w:val="00291289"/>
    <w:rsid w:val="00296578"/>
    <w:rsid w:val="002B70AE"/>
    <w:rsid w:val="002B7E8A"/>
    <w:rsid w:val="002C307D"/>
    <w:rsid w:val="00312F5E"/>
    <w:rsid w:val="003130A0"/>
    <w:rsid w:val="003210B1"/>
    <w:rsid w:val="00321584"/>
    <w:rsid w:val="003624BF"/>
    <w:rsid w:val="003A3CD2"/>
    <w:rsid w:val="003B248E"/>
    <w:rsid w:val="003B5315"/>
    <w:rsid w:val="003B640B"/>
    <w:rsid w:val="003D1800"/>
    <w:rsid w:val="003D30F0"/>
    <w:rsid w:val="003D4860"/>
    <w:rsid w:val="003D7C4B"/>
    <w:rsid w:val="003E03D5"/>
    <w:rsid w:val="003E55F5"/>
    <w:rsid w:val="003F078A"/>
    <w:rsid w:val="003F1FC6"/>
    <w:rsid w:val="00400080"/>
    <w:rsid w:val="00436448"/>
    <w:rsid w:val="00461DDE"/>
    <w:rsid w:val="00462387"/>
    <w:rsid w:val="00470A28"/>
    <w:rsid w:val="00470FB7"/>
    <w:rsid w:val="004779D1"/>
    <w:rsid w:val="004A5C85"/>
    <w:rsid w:val="004C1EA2"/>
    <w:rsid w:val="00521853"/>
    <w:rsid w:val="00522A60"/>
    <w:rsid w:val="005313CC"/>
    <w:rsid w:val="005330FE"/>
    <w:rsid w:val="0054481A"/>
    <w:rsid w:val="00562742"/>
    <w:rsid w:val="005A7037"/>
    <w:rsid w:val="005B52AA"/>
    <w:rsid w:val="005C03EA"/>
    <w:rsid w:val="005C3B11"/>
    <w:rsid w:val="005D4442"/>
    <w:rsid w:val="005F2317"/>
    <w:rsid w:val="00617395"/>
    <w:rsid w:val="00623AE9"/>
    <w:rsid w:val="00626150"/>
    <w:rsid w:val="00630694"/>
    <w:rsid w:val="00637E80"/>
    <w:rsid w:val="006464A6"/>
    <w:rsid w:val="00696E59"/>
    <w:rsid w:val="006A49C7"/>
    <w:rsid w:val="006B27AF"/>
    <w:rsid w:val="006B76F3"/>
    <w:rsid w:val="006D15A3"/>
    <w:rsid w:val="006D3BF7"/>
    <w:rsid w:val="006E4E10"/>
    <w:rsid w:val="006E5176"/>
    <w:rsid w:val="006E5653"/>
    <w:rsid w:val="006F3441"/>
    <w:rsid w:val="006F7AC0"/>
    <w:rsid w:val="00713DAF"/>
    <w:rsid w:val="00754E8A"/>
    <w:rsid w:val="0077284B"/>
    <w:rsid w:val="007829EF"/>
    <w:rsid w:val="00792055"/>
    <w:rsid w:val="007A63CF"/>
    <w:rsid w:val="007A7091"/>
    <w:rsid w:val="007B6290"/>
    <w:rsid w:val="00805A9A"/>
    <w:rsid w:val="0081014D"/>
    <w:rsid w:val="00840C98"/>
    <w:rsid w:val="00842936"/>
    <w:rsid w:val="00877017"/>
    <w:rsid w:val="008817B9"/>
    <w:rsid w:val="008C23F9"/>
    <w:rsid w:val="008C4C5E"/>
    <w:rsid w:val="008C4D15"/>
    <w:rsid w:val="008C7A60"/>
    <w:rsid w:val="00913AEA"/>
    <w:rsid w:val="00917363"/>
    <w:rsid w:val="00924B86"/>
    <w:rsid w:val="00925A86"/>
    <w:rsid w:val="00925F9C"/>
    <w:rsid w:val="009264C4"/>
    <w:rsid w:val="009437A7"/>
    <w:rsid w:val="0094571E"/>
    <w:rsid w:val="009503D5"/>
    <w:rsid w:val="00971EA6"/>
    <w:rsid w:val="009724C9"/>
    <w:rsid w:val="009770A8"/>
    <w:rsid w:val="00990B52"/>
    <w:rsid w:val="00990C53"/>
    <w:rsid w:val="009942CF"/>
    <w:rsid w:val="009A7DA2"/>
    <w:rsid w:val="009C0109"/>
    <w:rsid w:val="009F25E8"/>
    <w:rsid w:val="00A1123B"/>
    <w:rsid w:val="00A20EF3"/>
    <w:rsid w:val="00A25957"/>
    <w:rsid w:val="00A25E52"/>
    <w:rsid w:val="00A53320"/>
    <w:rsid w:val="00A804FB"/>
    <w:rsid w:val="00A97389"/>
    <w:rsid w:val="00AA0DA5"/>
    <w:rsid w:val="00AB71CF"/>
    <w:rsid w:val="00AD04AF"/>
    <w:rsid w:val="00AE37FF"/>
    <w:rsid w:val="00AF1989"/>
    <w:rsid w:val="00AF2EC4"/>
    <w:rsid w:val="00B41DDC"/>
    <w:rsid w:val="00B479A6"/>
    <w:rsid w:val="00B54654"/>
    <w:rsid w:val="00B6237E"/>
    <w:rsid w:val="00B80013"/>
    <w:rsid w:val="00B8577E"/>
    <w:rsid w:val="00BA3CA7"/>
    <w:rsid w:val="00BB1754"/>
    <w:rsid w:val="00BB1A8B"/>
    <w:rsid w:val="00BC64C1"/>
    <w:rsid w:val="00BD0E8F"/>
    <w:rsid w:val="00BE4922"/>
    <w:rsid w:val="00BF2370"/>
    <w:rsid w:val="00BF50AB"/>
    <w:rsid w:val="00C04501"/>
    <w:rsid w:val="00C07ED4"/>
    <w:rsid w:val="00C13195"/>
    <w:rsid w:val="00C27D58"/>
    <w:rsid w:val="00C43C2A"/>
    <w:rsid w:val="00C97CDA"/>
    <w:rsid w:val="00CC6864"/>
    <w:rsid w:val="00CE1CE3"/>
    <w:rsid w:val="00CF38C2"/>
    <w:rsid w:val="00D11BB2"/>
    <w:rsid w:val="00D349AF"/>
    <w:rsid w:val="00D732B2"/>
    <w:rsid w:val="00D75B8F"/>
    <w:rsid w:val="00D830FA"/>
    <w:rsid w:val="00D97437"/>
    <w:rsid w:val="00DA1D66"/>
    <w:rsid w:val="00DB64F7"/>
    <w:rsid w:val="00DB7775"/>
    <w:rsid w:val="00DC1EC5"/>
    <w:rsid w:val="00DE1938"/>
    <w:rsid w:val="00E137A4"/>
    <w:rsid w:val="00E22228"/>
    <w:rsid w:val="00E25F8D"/>
    <w:rsid w:val="00E43231"/>
    <w:rsid w:val="00E46CDF"/>
    <w:rsid w:val="00E65BB3"/>
    <w:rsid w:val="00E74E69"/>
    <w:rsid w:val="00E76DDF"/>
    <w:rsid w:val="00E849E6"/>
    <w:rsid w:val="00E8586E"/>
    <w:rsid w:val="00E907E0"/>
    <w:rsid w:val="00E92B2C"/>
    <w:rsid w:val="00EA3521"/>
    <w:rsid w:val="00EA36ED"/>
    <w:rsid w:val="00EA3A70"/>
    <w:rsid w:val="00EB02D6"/>
    <w:rsid w:val="00EB09C2"/>
    <w:rsid w:val="00EE1410"/>
    <w:rsid w:val="00F27BCD"/>
    <w:rsid w:val="00F71ED7"/>
    <w:rsid w:val="00F73C38"/>
    <w:rsid w:val="00F9664B"/>
    <w:rsid w:val="00FD39B1"/>
    <w:rsid w:val="00FF1AC7"/>
    <w:rsid w:val="143F3BAD"/>
    <w:rsid w:val="14964B09"/>
    <w:rsid w:val="14B37060"/>
    <w:rsid w:val="16094187"/>
    <w:rsid w:val="17EB625E"/>
    <w:rsid w:val="26E228CF"/>
    <w:rsid w:val="35706AAD"/>
    <w:rsid w:val="3980016E"/>
    <w:rsid w:val="438B3B7D"/>
    <w:rsid w:val="4EAB2E03"/>
    <w:rsid w:val="576E3CE9"/>
    <w:rsid w:val="5A072153"/>
    <w:rsid w:val="5D921BCD"/>
    <w:rsid w:val="639B406F"/>
    <w:rsid w:val="658C514D"/>
    <w:rsid w:val="65E45647"/>
    <w:rsid w:val="6C2474FB"/>
    <w:rsid w:val="71163D53"/>
    <w:rsid w:val="74FC0E73"/>
    <w:rsid w:val="787A5E98"/>
    <w:rsid w:val="7E9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7C02959-6E7D-4BBC-B690-CAB6F139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link w:val="a6"/>
    <w:rPr>
      <w:rFonts w:ascii="Segoe UI" w:hAnsi="Segoe UI" w:cs="Segoe UI"/>
      <w:b/>
      <w:bCs/>
      <w:sz w:val="18"/>
      <w:szCs w:val="18"/>
    </w:rPr>
  </w:style>
  <w:style w:type="character" w:customStyle="1" w:styleId="a7">
    <w:name w:val="Нижний колонтитул Знак"/>
    <w:link w:val="a8"/>
    <w:semiHidden/>
    <w:qFormat/>
    <w:locked/>
    <w:rPr>
      <w:b/>
      <w:bCs/>
      <w:lang w:val="ru-RU" w:eastAsia="ru-RU" w:bidi="ar-SA"/>
    </w:rPr>
  </w:style>
  <w:style w:type="paragraph" w:styleId="a9">
    <w:name w:val="header"/>
    <w:basedOn w:val="a"/>
    <w:pPr>
      <w:tabs>
        <w:tab w:val="center" w:pos="4844"/>
        <w:tab w:val="right" w:pos="9689"/>
      </w:tabs>
    </w:pPr>
  </w:style>
  <w:style w:type="paragraph" w:styleId="a6">
    <w:name w:val="Balloon Text"/>
    <w:basedOn w:val="a"/>
    <w:link w:val="a5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B64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val="en-US" w:eastAsia="en-US"/>
    </w:rPr>
  </w:style>
  <w:style w:type="paragraph" w:styleId="ac">
    <w:name w:val="No Spacing"/>
    <w:uiPriority w:val="1"/>
    <w:qFormat/>
    <w:rsid w:val="003B640B"/>
    <w:rPr>
      <w:rFonts w:eastAsia="Times New Roman"/>
    </w:rPr>
  </w:style>
  <w:style w:type="paragraph" w:styleId="ad">
    <w:name w:val="List Paragraph"/>
    <w:basedOn w:val="a"/>
    <w:uiPriority w:val="34"/>
    <w:qFormat/>
    <w:rsid w:val="003B640B"/>
    <w:pPr>
      <w:widowControl/>
      <w:autoSpaceDE/>
      <w:autoSpaceDN/>
      <w:adjustRightInd/>
      <w:ind w:left="720"/>
      <w:contextualSpacing/>
    </w:pPr>
    <w:rPr>
      <w:rFonts w:eastAsia="Times New Roman"/>
      <w:b w:val="0"/>
      <w:bCs w:val="0"/>
      <w:sz w:val="24"/>
      <w:szCs w:val="24"/>
    </w:rPr>
  </w:style>
  <w:style w:type="character" w:styleId="ae">
    <w:name w:val="Emphasis"/>
    <w:basedOn w:val="a0"/>
    <w:qFormat/>
    <w:rsid w:val="003B6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Шабуня</dc:creator>
  <cp:keywords/>
  <cp:lastModifiedBy>Светлана Г. Федосюк</cp:lastModifiedBy>
  <cp:revision>4</cp:revision>
  <cp:lastPrinted>2023-04-18T13:12:00Z</cp:lastPrinted>
  <dcterms:created xsi:type="dcterms:W3CDTF">2024-11-05T12:34:00Z</dcterms:created>
  <dcterms:modified xsi:type="dcterms:W3CDTF">2024-11-06T07:40:00Z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