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CC" w:rsidRPr="00B44D0E" w:rsidRDefault="000D0A55" w:rsidP="00B44D0E">
      <w:pPr>
        <w:tabs>
          <w:tab w:val="left" w:pos="426"/>
        </w:tabs>
        <w:spacing w:after="0"/>
        <w:jc w:val="both"/>
        <w:rPr>
          <w:rFonts w:ascii="Times New Roman" w:hAnsi="Times New Roman" w:cs="Times New Roman"/>
          <w:szCs w:val="24"/>
        </w:rPr>
      </w:pPr>
      <w:r w:rsidRPr="00B44D0E">
        <w:rPr>
          <w:rFonts w:ascii="Times New Roman" w:hAnsi="Times New Roman" w:cs="Times New Roman"/>
          <w:szCs w:val="24"/>
        </w:rPr>
        <w:t>Приглашение к участию</w:t>
      </w:r>
    </w:p>
    <w:p w:rsidR="003A7ACC" w:rsidRPr="00B44D0E" w:rsidRDefault="000D0A55" w:rsidP="00E67820">
      <w:pPr>
        <w:tabs>
          <w:tab w:val="left" w:pos="426"/>
        </w:tabs>
        <w:jc w:val="both"/>
        <w:rPr>
          <w:rFonts w:ascii="Times New Roman" w:hAnsi="Times New Roman" w:cs="Times New Roman"/>
          <w:szCs w:val="24"/>
        </w:rPr>
      </w:pPr>
      <w:r w:rsidRPr="00B44D0E">
        <w:rPr>
          <w:rFonts w:ascii="Times New Roman" w:hAnsi="Times New Roman" w:cs="Times New Roman"/>
          <w:szCs w:val="24"/>
        </w:rPr>
        <w:t>в процедуре закупки</w:t>
      </w:r>
    </w:p>
    <w:p w:rsidR="003A7ACC" w:rsidRPr="00B44D0E" w:rsidRDefault="000D0A55" w:rsidP="00B44D0E">
      <w:pPr>
        <w:pStyle w:val="ConsPlusTitle"/>
        <w:tabs>
          <w:tab w:val="left" w:pos="426"/>
        </w:tabs>
        <w:spacing w:after="0"/>
        <w:ind w:firstLineChars="200" w:firstLine="480"/>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 xml:space="preserve">Филиал «Минская городская телефонная сеть» РУП «Белтелеком» приглашает Вас принять участие в процедуре оформления конкурентного листа по закупке </w:t>
      </w:r>
      <w:r w:rsidR="0092727A" w:rsidRPr="00B44D0E">
        <w:rPr>
          <w:rFonts w:ascii="Times New Roman" w:hAnsi="Times New Roman" w:cs="Times New Roman"/>
          <w:b w:val="0"/>
          <w:sz w:val="24"/>
          <w:szCs w:val="24"/>
          <w:lang w:val="ru-RU"/>
        </w:rPr>
        <w:t xml:space="preserve">работ по разработке </w:t>
      </w:r>
      <w:proofErr w:type="spellStart"/>
      <w:r w:rsidR="001F39E5" w:rsidRPr="00B44D0E">
        <w:rPr>
          <w:rFonts w:ascii="Times New Roman" w:hAnsi="Times New Roman" w:cs="Times New Roman"/>
          <w:b w:val="0"/>
          <w:sz w:val="24"/>
          <w:szCs w:val="24"/>
          <w:lang w:val="ru-RU"/>
        </w:rPr>
        <w:t>пред</w:t>
      </w:r>
      <w:r w:rsidR="0092727A" w:rsidRPr="00B44D0E">
        <w:rPr>
          <w:rFonts w:ascii="Times New Roman" w:hAnsi="Times New Roman" w:cs="Times New Roman"/>
          <w:b w:val="0"/>
          <w:sz w:val="24"/>
          <w:szCs w:val="24"/>
          <w:lang w:val="ru-RU"/>
        </w:rPr>
        <w:t>проектной</w:t>
      </w:r>
      <w:proofErr w:type="spellEnd"/>
      <w:r w:rsidR="001F39E5" w:rsidRPr="00B44D0E">
        <w:rPr>
          <w:rFonts w:ascii="Times New Roman" w:hAnsi="Times New Roman" w:cs="Times New Roman"/>
          <w:b w:val="0"/>
          <w:sz w:val="24"/>
          <w:szCs w:val="24"/>
          <w:lang w:val="ru-RU"/>
        </w:rPr>
        <w:t xml:space="preserve"> (</w:t>
      </w:r>
      <w:proofErr w:type="spellStart"/>
      <w:r w:rsidR="001F39E5" w:rsidRPr="00B44D0E">
        <w:rPr>
          <w:rFonts w:ascii="Times New Roman" w:hAnsi="Times New Roman" w:cs="Times New Roman"/>
          <w:b w:val="0"/>
          <w:sz w:val="24"/>
          <w:szCs w:val="24"/>
          <w:lang w:val="ru-RU"/>
        </w:rPr>
        <w:t>предынвестиционной</w:t>
      </w:r>
      <w:proofErr w:type="spellEnd"/>
      <w:r w:rsidR="001F39E5" w:rsidRPr="00B44D0E">
        <w:rPr>
          <w:rFonts w:ascii="Times New Roman" w:hAnsi="Times New Roman" w:cs="Times New Roman"/>
          <w:b w:val="0"/>
          <w:sz w:val="24"/>
          <w:szCs w:val="24"/>
          <w:lang w:val="ru-RU"/>
        </w:rPr>
        <w:t>)</w:t>
      </w:r>
      <w:r w:rsidR="0092727A" w:rsidRPr="00B44D0E">
        <w:rPr>
          <w:rFonts w:ascii="Times New Roman" w:hAnsi="Times New Roman" w:cs="Times New Roman"/>
          <w:b w:val="0"/>
          <w:sz w:val="24"/>
          <w:szCs w:val="24"/>
          <w:lang w:val="ru-RU"/>
        </w:rPr>
        <w:t xml:space="preserve"> документации и выполнени</w:t>
      </w:r>
      <w:r w:rsidR="00BF6094" w:rsidRPr="00B44D0E">
        <w:rPr>
          <w:rFonts w:ascii="Times New Roman" w:hAnsi="Times New Roman" w:cs="Times New Roman"/>
          <w:b w:val="0"/>
          <w:sz w:val="24"/>
          <w:szCs w:val="24"/>
          <w:lang w:val="ru-RU"/>
        </w:rPr>
        <w:t>ю</w:t>
      </w:r>
      <w:r w:rsidR="0092727A" w:rsidRPr="00B44D0E">
        <w:rPr>
          <w:rFonts w:ascii="Times New Roman" w:hAnsi="Times New Roman" w:cs="Times New Roman"/>
          <w:b w:val="0"/>
          <w:sz w:val="24"/>
          <w:szCs w:val="24"/>
          <w:lang w:val="ru-RU"/>
        </w:rPr>
        <w:t xml:space="preserve"> изыскательских работ по объекту: </w:t>
      </w:r>
      <w:r w:rsidR="00B22B88" w:rsidRPr="00B44D0E">
        <w:rPr>
          <w:rFonts w:ascii="Times New Roman" w:eastAsia="Calibri" w:hAnsi="Times New Roman" w:cs="Times New Roman"/>
          <w:b w:val="0"/>
          <w:sz w:val="24"/>
          <w:szCs w:val="24"/>
          <w:lang w:val="ru-RU"/>
        </w:rPr>
        <w:t xml:space="preserve">«Реконструкция помещения связи (пом.1) в здании специализированном связи по ул.Мельникайте,7 в </w:t>
      </w:r>
      <w:proofErr w:type="spellStart"/>
      <w:r w:rsidR="00B22B88" w:rsidRPr="00B44D0E">
        <w:rPr>
          <w:rFonts w:ascii="Times New Roman" w:eastAsia="Calibri" w:hAnsi="Times New Roman" w:cs="Times New Roman"/>
          <w:b w:val="0"/>
          <w:sz w:val="24"/>
          <w:szCs w:val="24"/>
          <w:lang w:val="ru-RU"/>
        </w:rPr>
        <w:t>г.Минске</w:t>
      </w:r>
      <w:proofErr w:type="spellEnd"/>
      <w:r w:rsidR="00B22B88" w:rsidRPr="00B44D0E">
        <w:rPr>
          <w:rFonts w:ascii="Times New Roman" w:eastAsia="Calibri" w:hAnsi="Times New Roman" w:cs="Times New Roman"/>
          <w:b w:val="0"/>
          <w:sz w:val="24"/>
          <w:szCs w:val="24"/>
          <w:lang w:val="ru-RU"/>
        </w:rPr>
        <w:t>»</w:t>
      </w:r>
      <w:r w:rsidRPr="00B44D0E">
        <w:rPr>
          <w:rFonts w:ascii="Times New Roman" w:hAnsi="Times New Roman" w:cs="Times New Roman"/>
          <w:b w:val="0"/>
          <w:sz w:val="24"/>
          <w:szCs w:val="24"/>
          <w:lang w:val="ru-RU"/>
        </w:rPr>
        <w:t>.</w:t>
      </w:r>
    </w:p>
    <w:p w:rsidR="003A7ACC" w:rsidRPr="00B44D0E" w:rsidRDefault="000D0A55" w:rsidP="00B44D0E">
      <w:pPr>
        <w:tabs>
          <w:tab w:val="left" w:pos="426"/>
        </w:tabs>
        <w:spacing w:after="0"/>
        <w:ind w:leftChars="100" w:left="240" w:firstLineChars="96" w:firstLine="230"/>
        <w:jc w:val="both"/>
        <w:rPr>
          <w:rStyle w:val="a3"/>
          <w:rFonts w:ascii="Times New Roman" w:hAnsi="Times New Roman" w:cs="Times New Roman"/>
          <w:i w:val="0"/>
          <w:szCs w:val="24"/>
        </w:rPr>
      </w:pPr>
      <w:r w:rsidRPr="00B44D0E">
        <w:rPr>
          <w:rFonts w:ascii="Times New Roman" w:hAnsi="Times New Roman" w:cs="Times New Roman"/>
          <w:szCs w:val="24"/>
        </w:rPr>
        <w:t>Код ОКРБ</w:t>
      </w:r>
      <w:r w:rsidR="0092727A" w:rsidRPr="00B44D0E">
        <w:rPr>
          <w:rFonts w:ascii="Times New Roman" w:hAnsi="Times New Roman" w:cs="Times New Roman"/>
          <w:szCs w:val="24"/>
        </w:rPr>
        <w:t>: 71.11.22.900</w:t>
      </w:r>
    </w:p>
    <w:p w:rsidR="003A7ACC" w:rsidRPr="00B44D0E" w:rsidRDefault="000D0A55" w:rsidP="00B44D0E">
      <w:pPr>
        <w:pStyle w:val="ConsPlusTitle"/>
        <w:tabs>
          <w:tab w:val="left" w:pos="426"/>
        </w:tabs>
        <w:spacing w:after="0"/>
        <w:ind w:leftChars="100" w:left="240" w:firstLineChars="96" w:firstLine="230"/>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Вид процедуры закупки и обоснование её выбора:</w:t>
      </w:r>
    </w:p>
    <w:p w:rsidR="003A7ACC" w:rsidRPr="00B44D0E" w:rsidRDefault="000D0A55" w:rsidP="00B44D0E">
      <w:pPr>
        <w:pStyle w:val="ConsPlusTitle"/>
        <w:tabs>
          <w:tab w:val="left" w:pos="426"/>
        </w:tabs>
        <w:spacing w:after="0"/>
        <w:ind w:firstLineChars="195" w:firstLine="468"/>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Процедура оформления конкурентного листа, в связи с ориентировочной стоимостью закупки от 500 до 1000 базовых величин, в соответствии с Постановлением Совета Министров Республики Беларусь от 15.03.2012 №229 «О совершенствовании отношений в области закупок товаров (работ, услуг) за счёт собственных средств», приказом РУП «Белтелеком» от 01.02.2021 №60  «О закупках товаров (</w:t>
      </w:r>
      <w:proofErr w:type="spellStart"/>
      <w:r w:rsidRPr="00B44D0E">
        <w:rPr>
          <w:rFonts w:ascii="Times New Roman" w:hAnsi="Times New Roman" w:cs="Times New Roman"/>
          <w:b w:val="0"/>
          <w:sz w:val="24"/>
          <w:szCs w:val="24"/>
          <w:lang w:val="ru-RU"/>
        </w:rPr>
        <w:t>работ,услуг</w:t>
      </w:r>
      <w:proofErr w:type="spellEnd"/>
      <w:r w:rsidRPr="00B44D0E">
        <w:rPr>
          <w:rFonts w:ascii="Times New Roman" w:hAnsi="Times New Roman" w:cs="Times New Roman"/>
          <w:b w:val="0"/>
          <w:sz w:val="24"/>
          <w:szCs w:val="24"/>
          <w:lang w:val="ru-RU"/>
        </w:rPr>
        <w:t>) в РУП «</w:t>
      </w:r>
      <w:proofErr w:type="spellStart"/>
      <w:r w:rsidRPr="00B44D0E">
        <w:rPr>
          <w:rFonts w:ascii="Times New Roman" w:hAnsi="Times New Roman" w:cs="Times New Roman"/>
          <w:b w:val="0"/>
          <w:sz w:val="24"/>
          <w:szCs w:val="24"/>
          <w:lang w:val="ru-RU"/>
        </w:rPr>
        <w:t>Белтелеком</w:t>
      </w:r>
      <w:proofErr w:type="spellEnd"/>
      <w:r w:rsidRPr="00B44D0E">
        <w:rPr>
          <w:rFonts w:ascii="Times New Roman" w:hAnsi="Times New Roman" w:cs="Times New Roman"/>
          <w:b w:val="0"/>
          <w:sz w:val="24"/>
          <w:szCs w:val="24"/>
          <w:lang w:val="ru-RU"/>
        </w:rPr>
        <w:t>», приказом РУП «Белтелеком» от 20.06.2022 №512 «О закупках товаров (</w:t>
      </w:r>
      <w:proofErr w:type="spellStart"/>
      <w:r w:rsidRPr="00B44D0E">
        <w:rPr>
          <w:rFonts w:ascii="Times New Roman" w:hAnsi="Times New Roman" w:cs="Times New Roman"/>
          <w:b w:val="0"/>
          <w:sz w:val="24"/>
          <w:szCs w:val="24"/>
          <w:lang w:val="ru-RU"/>
        </w:rPr>
        <w:t>работ,услуг</w:t>
      </w:r>
      <w:proofErr w:type="spellEnd"/>
      <w:r w:rsidRPr="00B44D0E">
        <w:rPr>
          <w:rFonts w:ascii="Times New Roman" w:hAnsi="Times New Roman" w:cs="Times New Roman"/>
          <w:b w:val="0"/>
          <w:sz w:val="24"/>
          <w:szCs w:val="24"/>
          <w:lang w:val="ru-RU"/>
        </w:rPr>
        <w:t>) в РУП «</w:t>
      </w:r>
      <w:proofErr w:type="spellStart"/>
      <w:r w:rsidRPr="00B44D0E">
        <w:rPr>
          <w:rFonts w:ascii="Times New Roman" w:hAnsi="Times New Roman" w:cs="Times New Roman"/>
          <w:b w:val="0"/>
          <w:sz w:val="24"/>
          <w:szCs w:val="24"/>
          <w:lang w:val="ru-RU"/>
        </w:rPr>
        <w:t>Белтелеком</w:t>
      </w:r>
      <w:proofErr w:type="spellEnd"/>
      <w:r w:rsidRPr="00B44D0E">
        <w:rPr>
          <w:rFonts w:ascii="Times New Roman" w:hAnsi="Times New Roman" w:cs="Times New Roman"/>
          <w:b w:val="0"/>
          <w:sz w:val="24"/>
          <w:szCs w:val="24"/>
          <w:lang w:val="ru-RU"/>
        </w:rPr>
        <w:t>», приказом филиала «Минская городская телефонная сеть» РУП «</w:t>
      </w:r>
      <w:proofErr w:type="spellStart"/>
      <w:r w:rsidRPr="00B44D0E">
        <w:rPr>
          <w:rFonts w:ascii="Times New Roman" w:hAnsi="Times New Roman" w:cs="Times New Roman"/>
          <w:b w:val="0"/>
          <w:sz w:val="24"/>
          <w:szCs w:val="24"/>
          <w:lang w:val="ru-RU"/>
        </w:rPr>
        <w:t>Белтелеком</w:t>
      </w:r>
      <w:proofErr w:type="spellEnd"/>
      <w:r w:rsidRPr="00B44D0E">
        <w:rPr>
          <w:rFonts w:ascii="Times New Roman" w:hAnsi="Times New Roman" w:cs="Times New Roman"/>
          <w:b w:val="0"/>
          <w:sz w:val="24"/>
          <w:szCs w:val="24"/>
          <w:lang w:val="ru-RU"/>
        </w:rPr>
        <w:t xml:space="preserve">» </w:t>
      </w:r>
      <w:r w:rsidR="00F04901" w:rsidRPr="00B44D0E">
        <w:rPr>
          <w:rFonts w:ascii="Times New Roman" w:hAnsi="Times New Roman" w:cs="Times New Roman"/>
          <w:b w:val="0"/>
          <w:sz w:val="24"/>
          <w:szCs w:val="24"/>
          <w:lang w:val="ru-RU"/>
        </w:rPr>
        <w:t>от 19.11.2024 № 836 «О закупках товаров (работ, услуг) в филиале «Минская городская телефонная сеть РУП «</w:t>
      </w:r>
      <w:proofErr w:type="spellStart"/>
      <w:r w:rsidR="00F04901" w:rsidRPr="00B44D0E">
        <w:rPr>
          <w:rFonts w:ascii="Times New Roman" w:hAnsi="Times New Roman" w:cs="Times New Roman"/>
          <w:b w:val="0"/>
          <w:sz w:val="24"/>
          <w:szCs w:val="24"/>
          <w:lang w:val="ru-RU"/>
        </w:rPr>
        <w:t>Белтелеком</w:t>
      </w:r>
      <w:proofErr w:type="spellEnd"/>
      <w:r w:rsidR="00F04901" w:rsidRPr="00B44D0E">
        <w:rPr>
          <w:rFonts w:ascii="Times New Roman" w:hAnsi="Times New Roman" w:cs="Times New Roman"/>
          <w:b w:val="0"/>
          <w:sz w:val="24"/>
          <w:szCs w:val="24"/>
          <w:lang w:val="ru-RU"/>
        </w:rPr>
        <w:t>»</w:t>
      </w:r>
      <w:r w:rsidRPr="00B44D0E">
        <w:rPr>
          <w:rFonts w:ascii="Times New Roman" w:hAnsi="Times New Roman" w:cs="Times New Roman"/>
          <w:b w:val="0"/>
          <w:sz w:val="24"/>
          <w:szCs w:val="24"/>
          <w:lang w:val="ru-RU"/>
        </w:rPr>
        <w:t>.</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Сведения об организации:</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Республиканское унитарное предприятие электросвязи «Белтелеком» филиал «Минская городская телефонная сеть».</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220073 г.Минск ул.Харьковская,1.</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Ориентировочная стоимость закупки и порядок оплаты:</w:t>
      </w:r>
    </w:p>
    <w:p w:rsidR="0092727A" w:rsidRPr="00B44D0E" w:rsidRDefault="0092727A" w:rsidP="00B44D0E">
      <w:pPr>
        <w:pStyle w:val="a5"/>
        <w:tabs>
          <w:tab w:val="left" w:pos="426"/>
        </w:tabs>
        <w:spacing w:before="0"/>
        <w:ind w:firstLine="709"/>
        <w:rPr>
          <w:sz w:val="24"/>
          <w:szCs w:val="24"/>
        </w:rPr>
      </w:pPr>
      <w:r w:rsidRPr="00B44D0E">
        <w:rPr>
          <w:sz w:val="24"/>
          <w:szCs w:val="24"/>
        </w:rPr>
        <w:t xml:space="preserve">Ориентировочная цена </w:t>
      </w:r>
      <w:proofErr w:type="gramStart"/>
      <w:r w:rsidRPr="00B44D0E">
        <w:rPr>
          <w:sz w:val="24"/>
          <w:szCs w:val="24"/>
        </w:rPr>
        <w:t>закупки</w:t>
      </w:r>
      <w:r w:rsidR="001B7F9C" w:rsidRPr="00B44D0E">
        <w:rPr>
          <w:sz w:val="24"/>
          <w:szCs w:val="24"/>
        </w:rPr>
        <w:t xml:space="preserve"> </w:t>
      </w:r>
      <w:r w:rsidRPr="00B44D0E">
        <w:rPr>
          <w:sz w:val="24"/>
          <w:szCs w:val="24"/>
        </w:rPr>
        <w:t xml:space="preserve"> на</w:t>
      </w:r>
      <w:proofErr w:type="gramEnd"/>
      <w:r w:rsidRPr="00B44D0E">
        <w:rPr>
          <w:sz w:val="24"/>
          <w:szCs w:val="24"/>
        </w:rPr>
        <w:t xml:space="preserve"> </w:t>
      </w:r>
      <w:r w:rsidR="001B7F9C" w:rsidRPr="00B44D0E">
        <w:rPr>
          <w:sz w:val="24"/>
          <w:szCs w:val="24"/>
        </w:rPr>
        <w:t xml:space="preserve"> </w:t>
      </w:r>
      <w:r w:rsidRPr="00B44D0E">
        <w:rPr>
          <w:sz w:val="24"/>
          <w:szCs w:val="24"/>
        </w:rPr>
        <w:t xml:space="preserve">дату завершения работ составляет: </w:t>
      </w:r>
      <w:r w:rsidR="001B7F9C" w:rsidRPr="00B44D0E">
        <w:rPr>
          <w:sz w:val="24"/>
          <w:szCs w:val="24"/>
        </w:rPr>
        <w:t xml:space="preserve">40 </w:t>
      </w:r>
      <w:r w:rsidR="00373EEC" w:rsidRPr="00B44D0E">
        <w:rPr>
          <w:sz w:val="24"/>
          <w:szCs w:val="24"/>
        </w:rPr>
        <w:t>627,13</w:t>
      </w:r>
      <w:r w:rsidRPr="00B44D0E">
        <w:rPr>
          <w:sz w:val="24"/>
          <w:szCs w:val="24"/>
        </w:rPr>
        <w:t xml:space="preserve"> </w:t>
      </w:r>
      <w:r w:rsidR="00A109B8" w:rsidRPr="00B44D0E">
        <w:rPr>
          <w:sz w:val="24"/>
          <w:szCs w:val="24"/>
        </w:rPr>
        <w:t>(</w:t>
      </w:r>
      <w:r w:rsidR="001B7F9C" w:rsidRPr="00B44D0E">
        <w:rPr>
          <w:sz w:val="24"/>
          <w:szCs w:val="24"/>
        </w:rPr>
        <w:t>сорок</w:t>
      </w:r>
      <w:r w:rsidR="00A109B8" w:rsidRPr="00B44D0E">
        <w:rPr>
          <w:sz w:val="24"/>
          <w:szCs w:val="24"/>
        </w:rPr>
        <w:t xml:space="preserve"> тысяч шестьсот </w:t>
      </w:r>
      <w:r w:rsidR="001B7F9C" w:rsidRPr="00B44D0E">
        <w:rPr>
          <w:sz w:val="24"/>
          <w:szCs w:val="24"/>
        </w:rPr>
        <w:t>двадцать семь</w:t>
      </w:r>
      <w:r w:rsidR="00A109B8" w:rsidRPr="00B44D0E">
        <w:rPr>
          <w:sz w:val="24"/>
          <w:szCs w:val="24"/>
        </w:rPr>
        <w:t xml:space="preserve"> руб. </w:t>
      </w:r>
      <w:r w:rsidR="001B7F9C" w:rsidRPr="00B44D0E">
        <w:rPr>
          <w:sz w:val="24"/>
          <w:szCs w:val="24"/>
        </w:rPr>
        <w:t>13</w:t>
      </w:r>
      <w:r w:rsidRPr="00B44D0E">
        <w:rPr>
          <w:sz w:val="24"/>
          <w:szCs w:val="24"/>
        </w:rPr>
        <w:t xml:space="preserve"> коп.) BYN, в том числе НДС 20 % – </w:t>
      </w:r>
      <w:r w:rsidR="001B7F9C" w:rsidRPr="00B44D0E">
        <w:rPr>
          <w:sz w:val="24"/>
          <w:szCs w:val="24"/>
        </w:rPr>
        <w:t>6 771,19</w:t>
      </w:r>
      <w:r w:rsidRPr="00B44D0E">
        <w:rPr>
          <w:sz w:val="24"/>
          <w:szCs w:val="24"/>
        </w:rPr>
        <w:t xml:space="preserve"> (шесть тысяч </w:t>
      </w:r>
      <w:r w:rsidR="001B7F9C" w:rsidRPr="00B44D0E">
        <w:rPr>
          <w:sz w:val="24"/>
          <w:szCs w:val="24"/>
        </w:rPr>
        <w:t>семьсот семьдесят один</w:t>
      </w:r>
      <w:r w:rsidR="00A109B8" w:rsidRPr="00B44D0E">
        <w:rPr>
          <w:sz w:val="24"/>
          <w:szCs w:val="24"/>
        </w:rPr>
        <w:t xml:space="preserve"> </w:t>
      </w:r>
      <w:r w:rsidRPr="00B44D0E">
        <w:rPr>
          <w:sz w:val="24"/>
          <w:szCs w:val="24"/>
        </w:rPr>
        <w:t xml:space="preserve">руб. </w:t>
      </w:r>
      <w:r w:rsidR="00A109B8" w:rsidRPr="00B44D0E">
        <w:rPr>
          <w:sz w:val="24"/>
          <w:szCs w:val="24"/>
        </w:rPr>
        <w:t>1</w:t>
      </w:r>
      <w:r w:rsidR="00373EEC" w:rsidRPr="00B44D0E">
        <w:rPr>
          <w:sz w:val="24"/>
          <w:szCs w:val="24"/>
        </w:rPr>
        <w:t>9</w:t>
      </w:r>
      <w:r w:rsidRPr="00B44D0E">
        <w:rPr>
          <w:sz w:val="24"/>
          <w:szCs w:val="24"/>
        </w:rPr>
        <w:t xml:space="preserve"> коп.) BYN</w:t>
      </w:r>
      <w:r w:rsidR="00CD0A12" w:rsidRPr="00B44D0E">
        <w:rPr>
          <w:sz w:val="24"/>
          <w:szCs w:val="24"/>
        </w:rPr>
        <w:t xml:space="preserve"> согласно Приложению 1 к настоящему приглашению</w:t>
      </w:r>
      <w:r w:rsidRPr="00B44D0E">
        <w:rPr>
          <w:sz w:val="24"/>
          <w:szCs w:val="24"/>
        </w:rPr>
        <w:t>.</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Условия по оплате должны быть не хуже следующих:</w:t>
      </w:r>
    </w:p>
    <w:p w:rsidR="0092727A" w:rsidRPr="00B44D0E" w:rsidRDefault="0092727A" w:rsidP="00B44D0E">
      <w:pPr>
        <w:pStyle w:val="ConsPlusTitle"/>
        <w:tabs>
          <w:tab w:val="left" w:pos="426"/>
        </w:tabs>
        <w:spacing w:after="0"/>
        <w:ind w:firstLine="709"/>
        <w:jc w:val="both"/>
        <w:rPr>
          <w:rFonts w:ascii="Times New Roman" w:eastAsia="Calibri" w:hAnsi="Times New Roman" w:cs="Times New Roman"/>
          <w:b w:val="0"/>
          <w:sz w:val="24"/>
          <w:szCs w:val="24"/>
          <w:lang w:val="ru-RU"/>
        </w:rPr>
      </w:pPr>
      <w:r w:rsidRPr="00B44D0E">
        <w:rPr>
          <w:rFonts w:ascii="Times New Roman" w:eastAsia="Calibri" w:hAnsi="Times New Roman" w:cs="Times New Roman"/>
          <w:b w:val="0"/>
          <w:sz w:val="24"/>
          <w:szCs w:val="24"/>
          <w:lang w:val="ru-RU"/>
        </w:rPr>
        <w:t xml:space="preserve">Оплата выполненных работ производится </w:t>
      </w:r>
      <w:r w:rsidR="00F867EA" w:rsidRPr="00B44D0E">
        <w:rPr>
          <w:rFonts w:ascii="Times New Roman" w:hAnsi="Times New Roman" w:cs="Times New Roman"/>
          <w:b w:val="0"/>
          <w:sz w:val="24"/>
          <w:szCs w:val="24"/>
          <w:lang w:val="ru-RU"/>
        </w:rPr>
        <w:t>в течение 5 банковских дней с момента завершения выполнения всех работ в соответствии с календарным планом</w:t>
      </w:r>
      <w:r w:rsidR="00BF6094" w:rsidRPr="00B44D0E">
        <w:rPr>
          <w:rFonts w:ascii="Times New Roman" w:hAnsi="Times New Roman" w:cs="Times New Roman"/>
          <w:b w:val="0"/>
          <w:sz w:val="24"/>
          <w:szCs w:val="24"/>
          <w:lang w:val="ru-RU"/>
        </w:rPr>
        <w:t>, передачи заказчику проектной, в том числе сметной документации</w:t>
      </w:r>
      <w:r w:rsidR="00F867EA" w:rsidRPr="00B44D0E">
        <w:rPr>
          <w:rFonts w:ascii="Times New Roman" w:hAnsi="Times New Roman" w:cs="Times New Roman"/>
          <w:b w:val="0"/>
          <w:sz w:val="24"/>
          <w:szCs w:val="24"/>
          <w:lang w:val="ru-RU"/>
        </w:rPr>
        <w:t xml:space="preserve"> и подписания соответствующего акта сдачи-приемки выполненных работ.</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Источник финансирования:</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Собственные средства филиала «Минская городская телефонная сеть» РУП «Белтелеком».</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 xml:space="preserve">Срок и условия </w:t>
      </w:r>
      <w:r w:rsidR="0092727A" w:rsidRPr="00B44D0E">
        <w:rPr>
          <w:rFonts w:ascii="Times New Roman" w:hAnsi="Times New Roman" w:cs="Times New Roman"/>
          <w:b w:val="0"/>
          <w:sz w:val="24"/>
          <w:szCs w:val="24"/>
          <w:lang w:val="ru-RU"/>
        </w:rPr>
        <w:t>выполнения работ</w:t>
      </w:r>
      <w:r w:rsidRPr="00B44D0E">
        <w:rPr>
          <w:rFonts w:ascii="Times New Roman" w:hAnsi="Times New Roman" w:cs="Times New Roman"/>
          <w:b w:val="0"/>
          <w:sz w:val="24"/>
          <w:szCs w:val="24"/>
          <w:lang w:val="ru-RU"/>
        </w:rPr>
        <w:t>:</w:t>
      </w:r>
    </w:p>
    <w:p w:rsidR="0092727A"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 xml:space="preserve">Сроки </w:t>
      </w:r>
      <w:r w:rsidR="0092727A" w:rsidRPr="00B44D0E">
        <w:rPr>
          <w:rFonts w:ascii="Times New Roman" w:hAnsi="Times New Roman" w:cs="Times New Roman"/>
          <w:b w:val="0"/>
          <w:sz w:val="24"/>
          <w:szCs w:val="24"/>
          <w:lang w:val="ru-RU"/>
        </w:rPr>
        <w:t>выполнения работ</w:t>
      </w:r>
      <w:r w:rsidRPr="00B44D0E">
        <w:rPr>
          <w:rFonts w:ascii="Times New Roman" w:hAnsi="Times New Roman" w:cs="Times New Roman"/>
          <w:b w:val="0"/>
          <w:sz w:val="24"/>
          <w:szCs w:val="24"/>
          <w:lang w:val="ru-RU"/>
        </w:rPr>
        <w:t xml:space="preserve"> - с </w:t>
      </w:r>
      <w:r w:rsidR="00F55062" w:rsidRPr="00B44D0E">
        <w:rPr>
          <w:rFonts w:ascii="Times New Roman" w:hAnsi="Times New Roman" w:cs="Times New Roman"/>
          <w:b w:val="0"/>
          <w:sz w:val="24"/>
          <w:szCs w:val="24"/>
          <w:lang w:val="ru-RU"/>
        </w:rPr>
        <w:t>01</w:t>
      </w:r>
      <w:r w:rsidRPr="00B44D0E">
        <w:rPr>
          <w:rFonts w:ascii="Times New Roman" w:hAnsi="Times New Roman" w:cs="Times New Roman"/>
          <w:b w:val="0"/>
          <w:sz w:val="24"/>
          <w:szCs w:val="24"/>
          <w:lang w:val="ru-RU"/>
        </w:rPr>
        <w:t>.</w:t>
      </w:r>
      <w:r w:rsidR="00B22B88" w:rsidRPr="00B44D0E">
        <w:rPr>
          <w:rFonts w:ascii="Times New Roman" w:hAnsi="Times New Roman" w:cs="Times New Roman"/>
          <w:b w:val="0"/>
          <w:sz w:val="24"/>
          <w:szCs w:val="24"/>
          <w:lang w:val="ru-RU"/>
        </w:rPr>
        <w:t>0</w:t>
      </w:r>
      <w:r w:rsidR="00F55062" w:rsidRPr="00B44D0E">
        <w:rPr>
          <w:rFonts w:ascii="Times New Roman" w:hAnsi="Times New Roman" w:cs="Times New Roman"/>
          <w:b w:val="0"/>
          <w:sz w:val="24"/>
          <w:szCs w:val="24"/>
          <w:lang w:val="ru-RU"/>
        </w:rPr>
        <w:t>4</w:t>
      </w:r>
      <w:r w:rsidRPr="00B44D0E">
        <w:rPr>
          <w:rFonts w:ascii="Times New Roman" w:hAnsi="Times New Roman" w:cs="Times New Roman"/>
          <w:b w:val="0"/>
          <w:sz w:val="24"/>
          <w:szCs w:val="24"/>
          <w:lang w:val="ru-RU"/>
        </w:rPr>
        <w:t>.202</w:t>
      </w:r>
      <w:r w:rsidR="00B22B88" w:rsidRPr="00B44D0E">
        <w:rPr>
          <w:rFonts w:ascii="Times New Roman" w:hAnsi="Times New Roman" w:cs="Times New Roman"/>
          <w:b w:val="0"/>
          <w:sz w:val="24"/>
          <w:szCs w:val="24"/>
          <w:lang w:val="ru-RU"/>
        </w:rPr>
        <w:t>5</w:t>
      </w:r>
      <w:r w:rsidRPr="00B44D0E">
        <w:rPr>
          <w:rFonts w:ascii="Times New Roman" w:hAnsi="Times New Roman" w:cs="Times New Roman"/>
          <w:b w:val="0"/>
          <w:sz w:val="24"/>
          <w:szCs w:val="24"/>
          <w:lang w:val="ru-RU"/>
        </w:rPr>
        <w:t xml:space="preserve"> по </w:t>
      </w:r>
      <w:r w:rsidR="00540E9F" w:rsidRPr="00B44D0E">
        <w:rPr>
          <w:rFonts w:ascii="Times New Roman" w:hAnsi="Times New Roman" w:cs="Times New Roman"/>
          <w:b w:val="0"/>
          <w:sz w:val="24"/>
          <w:szCs w:val="24"/>
          <w:lang w:val="ru-RU"/>
        </w:rPr>
        <w:t>29</w:t>
      </w:r>
      <w:r w:rsidR="0092727A" w:rsidRPr="00B44D0E">
        <w:rPr>
          <w:rFonts w:ascii="Times New Roman" w:hAnsi="Times New Roman" w:cs="Times New Roman"/>
          <w:b w:val="0"/>
          <w:sz w:val="24"/>
          <w:szCs w:val="24"/>
          <w:lang w:val="ru-RU"/>
        </w:rPr>
        <w:t>.0</w:t>
      </w:r>
      <w:r w:rsidR="00B22B88" w:rsidRPr="00B44D0E">
        <w:rPr>
          <w:rFonts w:ascii="Times New Roman" w:hAnsi="Times New Roman" w:cs="Times New Roman"/>
          <w:b w:val="0"/>
          <w:sz w:val="24"/>
          <w:szCs w:val="24"/>
          <w:lang w:val="ru-RU"/>
        </w:rPr>
        <w:t>6</w:t>
      </w:r>
      <w:r w:rsidRPr="00B44D0E">
        <w:rPr>
          <w:rFonts w:ascii="Times New Roman" w:hAnsi="Times New Roman" w:cs="Times New Roman"/>
          <w:b w:val="0"/>
          <w:sz w:val="24"/>
          <w:szCs w:val="24"/>
          <w:lang w:val="ru-RU"/>
        </w:rPr>
        <w:t xml:space="preserve">.2025г. </w:t>
      </w:r>
    </w:p>
    <w:p w:rsidR="003A7ACC" w:rsidRPr="00B44D0E" w:rsidRDefault="0092727A"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Выполнение работ</w:t>
      </w:r>
      <w:r w:rsidR="000D0A55" w:rsidRPr="00B44D0E">
        <w:rPr>
          <w:rFonts w:ascii="Times New Roman" w:hAnsi="Times New Roman" w:cs="Times New Roman"/>
          <w:b w:val="0"/>
          <w:sz w:val="24"/>
          <w:szCs w:val="24"/>
          <w:lang w:val="ru-RU"/>
        </w:rPr>
        <w:t xml:space="preserve"> осуществляется в пределах </w:t>
      </w:r>
      <w:proofErr w:type="spellStart"/>
      <w:r w:rsidR="000D0A55" w:rsidRPr="00B44D0E">
        <w:rPr>
          <w:rFonts w:ascii="Times New Roman" w:hAnsi="Times New Roman" w:cs="Times New Roman"/>
          <w:b w:val="0"/>
          <w:sz w:val="24"/>
          <w:szCs w:val="24"/>
          <w:lang w:val="ru-RU"/>
        </w:rPr>
        <w:t>г.Минска</w:t>
      </w:r>
      <w:proofErr w:type="spellEnd"/>
      <w:r w:rsidR="000D0A55" w:rsidRPr="00B44D0E">
        <w:rPr>
          <w:rFonts w:ascii="Times New Roman" w:hAnsi="Times New Roman" w:cs="Times New Roman"/>
          <w:b w:val="0"/>
          <w:sz w:val="24"/>
          <w:szCs w:val="24"/>
          <w:lang w:val="ru-RU"/>
        </w:rPr>
        <w:t>.</w:t>
      </w:r>
    </w:p>
    <w:p w:rsidR="00C07584" w:rsidRPr="00B44D0E" w:rsidRDefault="00C07584" w:rsidP="00B44D0E">
      <w:pPr>
        <w:tabs>
          <w:tab w:val="left" w:pos="1134"/>
        </w:tabs>
        <w:spacing w:after="0" w:line="240" w:lineRule="auto"/>
        <w:jc w:val="both"/>
        <w:rPr>
          <w:rFonts w:ascii="Times New Roman" w:eastAsia="Times New Roman" w:hAnsi="Times New Roman" w:cs="Times New Roman"/>
          <w:szCs w:val="24"/>
          <w:lang w:val="x-none" w:eastAsia="x-none"/>
        </w:rPr>
      </w:pPr>
      <w:proofErr w:type="spellStart"/>
      <w:r w:rsidRPr="00B44D0E">
        <w:rPr>
          <w:rFonts w:ascii="Times New Roman" w:eastAsia="Times New Roman" w:hAnsi="Times New Roman" w:cs="Times New Roman"/>
          <w:szCs w:val="24"/>
          <w:lang w:val="x-none" w:eastAsia="x-none"/>
        </w:rPr>
        <w:t>Предпроектная</w:t>
      </w:r>
      <w:proofErr w:type="spellEnd"/>
      <w:r w:rsidRPr="00B44D0E">
        <w:rPr>
          <w:rFonts w:ascii="Times New Roman" w:eastAsia="Times New Roman" w:hAnsi="Times New Roman" w:cs="Times New Roman"/>
          <w:szCs w:val="24"/>
          <w:lang w:val="x-none" w:eastAsia="x-none"/>
        </w:rPr>
        <w:t xml:space="preserve"> (</w:t>
      </w:r>
      <w:proofErr w:type="spellStart"/>
      <w:r w:rsidRPr="00B44D0E">
        <w:rPr>
          <w:rFonts w:ascii="Times New Roman" w:eastAsia="Times New Roman" w:hAnsi="Times New Roman" w:cs="Times New Roman"/>
          <w:szCs w:val="24"/>
          <w:lang w:val="x-none" w:eastAsia="x-none"/>
        </w:rPr>
        <w:t>предынвестиционная</w:t>
      </w:r>
      <w:proofErr w:type="spellEnd"/>
      <w:r w:rsidRPr="00B44D0E">
        <w:rPr>
          <w:rFonts w:ascii="Times New Roman" w:eastAsia="Times New Roman" w:hAnsi="Times New Roman" w:cs="Times New Roman"/>
          <w:szCs w:val="24"/>
          <w:lang w:val="x-none" w:eastAsia="x-none"/>
        </w:rPr>
        <w:t xml:space="preserve">) </w:t>
      </w:r>
      <w:proofErr w:type="spellStart"/>
      <w:r w:rsidRPr="00B44D0E">
        <w:rPr>
          <w:rFonts w:ascii="Times New Roman" w:eastAsia="Times New Roman" w:hAnsi="Times New Roman" w:cs="Times New Roman"/>
          <w:szCs w:val="24"/>
          <w:lang w:val="x-none" w:eastAsia="x-none"/>
        </w:rPr>
        <w:t>документация</w:t>
      </w:r>
      <w:proofErr w:type="spellEnd"/>
      <w:r w:rsidRPr="00B44D0E">
        <w:rPr>
          <w:rFonts w:ascii="Times New Roman" w:eastAsia="Times New Roman" w:hAnsi="Times New Roman" w:cs="Times New Roman"/>
          <w:szCs w:val="24"/>
          <w:lang w:eastAsia="x-none"/>
        </w:rPr>
        <w:t xml:space="preserve"> </w:t>
      </w:r>
      <w:r w:rsidRPr="00B44D0E">
        <w:rPr>
          <w:rFonts w:ascii="Times New Roman" w:eastAsia="Times New Roman" w:hAnsi="Times New Roman" w:cs="Times New Roman"/>
          <w:szCs w:val="24"/>
          <w:lang w:val="x-none" w:eastAsia="x-none"/>
        </w:rPr>
        <w:t xml:space="preserve"> </w:t>
      </w:r>
      <w:proofErr w:type="spellStart"/>
      <w:r w:rsidRPr="00B44D0E">
        <w:rPr>
          <w:rFonts w:ascii="Times New Roman" w:eastAsia="Times New Roman" w:hAnsi="Times New Roman" w:cs="Times New Roman"/>
          <w:szCs w:val="24"/>
          <w:lang w:val="x-none" w:eastAsia="x-none"/>
        </w:rPr>
        <w:t>включает</w:t>
      </w:r>
      <w:proofErr w:type="spellEnd"/>
      <w:r w:rsidRPr="00B44D0E">
        <w:rPr>
          <w:rFonts w:ascii="Times New Roman" w:eastAsia="Times New Roman" w:hAnsi="Times New Roman" w:cs="Times New Roman"/>
          <w:szCs w:val="24"/>
          <w:lang w:val="x-none" w:eastAsia="x-none"/>
        </w:rPr>
        <w:t xml:space="preserve">: </w:t>
      </w:r>
    </w:p>
    <w:p w:rsidR="00C07584" w:rsidRPr="00B44D0E" w:rsidRDefault="00C07584" w:rsidP="00B44D0E">
      <w:pPr>
        <w:numPr>
          <w:ilvl w:val="0"/>
          <w:numId w:val="3"/>
        </w:numPr>
        <w:overflowPunct w:val="0"/>
        <w:autoSpaceDE w:val="0"/>
        <w:autoSpaceDN w:val="0"/>
        <w:adjustRightInd w:val="0"/>
        <w:spacing w:after="0" w:line="240" w:lineRule="auto"/>
        <w:ind w:left="0"/>
        <w:jc w:val="both"/>
        <w:rPr>
          <w:rFonts w:ascii="Times New Roman" w:eastAsia="Times New Roman" w:hAnsi="Times New Roman" w:cs="Times New Roman"/>
          <w:szCs w:val="24"/>
        </w:rPr>
      </w:pPr>
      <w:r w:rsidRPr="00B44D0E">
        <w:rPr>
          <w:rFonts w:ascii="Times New Roman" w:eastAsia="Times New Roman" w:hAnsi="Times New Roman" w:cs="Times New Roman"/>
          <w:szCs w:val="24"/>
        </w:rPr>
        <w:t>обоснование инвестиций:</w:t>
      </w:r>
    </w:p>
    <w:p w:rsidR="00C07584" w:rsidRPr="00B44D0E" w:rsidRDefault="00C07584" w:rsidP="00B44D0E">
      <w:pPr>
        <w:numPr>
          <w:ilvl w:val="0"/>
          <w:numId w:val="3"/>
        </w:numPr>
        <w:overflowPunct w:val="0"/>
        <w:autoSpaceDE w:val="0"/>
        <w:autoSpaceDN w:val="0"/>
        <w:adjustRightInd w:val="0"/>
        <w:spacing w:after="0" w:line="240" w:lineRule="auto"/>
        <w:ind w:left="0"/>
        <w:jc w:val="both"/>
        <w:rPr>
          <w:rFonts w:ascii="Times New Roman" w:eastAsia="Times New Roman" w:hAnsi="Times New Roman" w:cs="Times New Roman"/>
          <w:szCs w:val="24"/>
        </w:rPr>
      </w:pPr>
      <w:r w:rsidRPr="00B44D0E">
        <w:rPr>
          <w:rFonts w:ascii="Times New Roman" w:eastAsia="Times New Roman" w:hAnsi="Times New Roman" w:cs="Times New Roman"/>
          <w:szCs w:val="24"/>
        </w:rPr>
        <w:t>Заключение о техническом состоянии строительных конструкций.</w:t>
      </w:r>
    </w:p>
    <w:p w:rsidR="00C07584" w:rsidRPr="00B44D0E" w:rsidRDefault="00C07584" w:rsidP="00B44D0E">
      <w:pPr>
        <w:numPr>
          <w:ilvl w:val="0"/>
          <w:numId w:val="3"/>
        </w:numPr>
        <w:overflowPunct w:val="0"/>
        <w:autoSpaceDE w:val="0"/>
        <w:autoSpaceDN w:val="0"/>
        <w:adjustRightInd w:val="0"/>
        <w:spacing w:after="0" w:line="240" w:lineRule="auto"/>
        <w:ind w:left="0"/>
        <w:jc w:val="both"/>
        <w:rPr>
          <w:rFonts w:ascii="Times New Roman" w:eastAsia="Times New Roman" w:hAnsi="Times New Roman" w:cs="Times New Roman"/>
          <w:szCs w:val="24"/>
        </w:rPr>
      </w:pPr>
      <w:r w:rsidRPr="00B44D0E">
        <w:rPr>
          <w:rFonts w:ascii="Times New Roman" w:eastAsia="Times New Roman" w:hAnsi="Times New Roman" w:cs="Times New Roman"/>
          <w:szCs w:val="24"/>
        </w:rPr>
        <w:t>Задание на проектирование.</w:t>
      </w:r>
    </w:p>
    <w:p w:rsidR="003A7ACC"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Требования к участникам процедуры закупки:</w:t>
      </w:r>
    </w:p>
    <w:p w:rsidR="00BF6094" w:rsidRPr="00B44D0E" w:rsidRDefault="000D0A55" w:rsidP="00B44D0E">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Участником процедуры может быть любое юридическое или физическое лицо, в том числе индивидуальный предприниматель, независимо от организационно - правовой формы, формы собственности, места нахождения и места происхождения капитала, которое соответствует требованиям, установленным Заказчиком в настоящем приглашении в соответствии с порядком закупок за счёт собственных средств, за исключением юридических и физических лиц, в том числе индивидуальных предпринимателей, включённых в реестр поставщиков ( подрядчиков, исполнителей), вре</w:t>
      </w:r>
      <w:r w:rsidR="00BF6094" w:rsidRPr="00B44D0E">
        <w:rPr>
          <w:rFonts w:ascii="Times New Roman" w:hAnsi="Times New Roman" w:cs="Times New Roman"/>
          <w:b w:val="0"/>
          <w:sz w:val="24"/>
          <w:szCs w:val="24"/>
          <w:lang w:val="ru-RU"/>
        </w:rPr>
        <w:t>менно не допускаемых к закупкам.</w:t>
      </w:r>
    </w:p>
    <w:p w:rsidR="003A7ACC" w:rsidRPr="00B44D0E" w:rsidRDefault="000D0A55" w:rsidP="00983567">
      <w:pPr>
        <w:pStyle w:val="ConsPlusTitle"/>
        <w:tabs>
          <w:tab w:val="left" w:pos="426"/>
        </w:tabs>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lastRenderedPageBreak/>
        <w:t>Предложение участника должно содержать следующие документы и сведения:</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аттестат соответствия не ниже 3 категории по видам работ:</w:t>
      </w:r>
    </w:p>
    <w:p w:rsidR="0092727A" w:rsidRPr="00B44D0E" w:rsidRDefault="0092727A" w:rsidP="00BF6094">
      <w:pPr>
        <w:tabs>
          <w:tab w:val="left" w:pos="993"/>
        </w:tabs>
        <w:spacing w:after="0"/>
        <w:ind w:right="283" w:firstLine="709"/>
        <w:jc w:val="both"/>
        <w:rPr>
          <w:rFonts w:ascii="Times New Roman" w:hAnsi="Times New Roman" w:cs="Times New Roman"/>
          <w:szCs w:val="24"/>
        </w:rPr>
      </w:pPr>
      <w:r w:rsidRPr="00B44D0E">
        <w:rPr>
          <w:rFonts w:ascii="Times New Roman" w:hAnsi="Times New Roman" w:cs="Times New Roman"/>
          <w:szCs w:val="24"/>
        </w:rPr>
        <w:t>п.</w:t>
      </w:r>
      <w:r w:rsidR="00771385" w:rsidRPr="00B44D0E">
        <w:rPr>
          <w:rFonts w:ascii="Times New Roman" w:hAnsi="Times New Roman" w:cs="Times New Roman"/>
          <w:szCs w:val="24"/>
        </w:rPr>
        <w:t>2</w:t>
      </w:r>
      <w:r w:rsidRPr="00B44D0E">
        <w:rPr>
          <w:rFonts w:ascii="Times New Roman" w:hAnsi="Times New Roman" w:cs="Times New Roman"/>
          <w:szCs w:val="24"/>
        </w:rPr>
        <w:t xml:space="preserve">. </w:t>
      </w:r>
      <w:r w:rsidR="00771385" w:rsidRPr="00B44D0E">
        <w:rPr>
          <w:rFonts w:ascii="Times New Roman" w:hAnsi="Times New Roman" w:cs="Times New Roman"/>
          <w:szCs w:val="24"/>
        </w:rPr>
        <w:t>выполнение функций генерального проектировщика,</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подтверждение наличия сотрудников участника, привлекаемых для выполнения предмета заказа, и их профессионально-квалификационный состав (с указанием времени работы по специальности и их специализации, наличия квалификационного аттестата, выданного в установленном порядке, если такой аттестат требуется в соответствии с законодательством);</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о наличии у участника материально-технической и информационной базы, лицензионного программного обеспечения;</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 xml:space="preserve">способность участника выполнить весь комплекс </w:t>
      </w:r>
      <w:proofErr w:type="spellStart"/>
      <w:r w:rsidRPr="00B44D0E">
        <w:rPr>
          <w:rFonts w:ascii="Times New Roman" w:hAnsi="Times New Roman" w:cs="Times New Roman"/>
          <w:szCs w:val="24"/>
        </w:rPr>
        <w:t>предпроектных</w:t>
      </w:r>
      <w:proofErr w:type="spellEnd"/>
      <w:r w:rsidRPr="00B44D0E">
        <w:rPr>
          <w:rFonts w:ascii="Times New Roman" w:hAnsi="Times New Roman" w:cs="Times New Roman"/>
          <w:szCs w:val="24"/>
        </w:rPr>
        <w:t>, проектных и изыскательских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субподряда (допускается предоставление предварительных договоров);</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о наличии реализованных (нереализованных) аналогичных проектов,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договором, сведения о наличии заключений органов государственной экспертизы или отказах в их выдаче за последние два года).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свидетельство о государственной регистрации юридического лица (индивидуального предпринимателя);</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сведения об изменениях, вносимых в наименование участника, правопреемстве, периоде осуществления проектно</w:t>
      </w:r>
      <w:r w:rsidR="00F867EA" w:rsidRPr="00B44D0E">
        <w:rPr>
          <w:rFonts w:ascii="Times New Roman" w:hAnsi="Times New Roman" w:cs="Times New Roman"/>
          <w:szCs w:val="24"/>
        </w:rPr>
        <w:t>й и изыскательской деятельности;</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учредительны</w:t>
      </w:r>
      <w:r w:rsidR="0044061C" w:rsidRPr="00B44D0E">
        <w:rPr>
          <w:rFonts w:ascii="Times New Roman" w:hAnsi="Times New Roman" w:cs="Times New Roman"/>
          <w:szCs w:val="24"/>
        </w:rPr>
        <w:t>е</w:t>
      </w:r>
      <w:r w:rsidRPr="00B44D0E">
        <w:rPr>
          <w:rFonts w:ascii="Times New Roman" w:hAnsi="Times New Roman" w:cs="Times New Roman"/>
          <w:szCs w:val="24"/>
        </w:rPr>
        <w:t xml:space="preserve"> документ</w:t>
      </w:r>
      <w:r w:rsidR="0044061C" w:rsidRPr="00B44D0E">
        <w:rPr>
          <w:rFonts w:ascii="Times New Roman" w:hAnsi="Times New Roman" w:cs="Times New Roman"/>
          <w:szCs w:val="24"/>
        </w:rPr>
        <w:t>ы</w:t>
      </w:r>
      <w:r w:rsidRPr="00B44D0E">
        <w:rPr>
          <w:rFonts w:ascii="Times New Roman" w:hAnsi="Times New Roman" w:cs="Times New Roman"/>
          <w:szCs w:val="24"/>
        </w:rPr>
        <w:t xml:space="preserve"> в полной редакции;</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сопроводительное письмо, подтверждающее принятие условий, выдвинутых организатором переговоров,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обоснование и расчет цены предложения участника с указанием метода ее определения;</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lastRenderedPageBreak/>
        <w:t>бухгалтерскую отчетность за последние отчетные год и период, а участник, применяющий упрощенную систему налогообложения и ведущий книгу учета доходов и расходов, книгу учета доходов и расходов или выписку из нее за последние отчетные год и период;</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справку о состоянии текущих (расчетных) счетов участника из банка, в котором он обслуживается;</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документов подтверждающих полномочия лиц, представляющих интересы участника и подписывающих от его имени соответствующие документы;</w:t>
      </w:r>
    </w:p>
    <w:p w:rsidR="0092727A" w:rsidRPr="00B44D0E" w:rsidRDefault="0092727A" w:rsidP="00BF6094">
      <w:pPr>
        <w:numPr>
          <w:ilvl w:val="0"/>
          <w:numId w:val="2"/>
        </w:numPr>
        <w:tabs>
          <w:tab w:val="left" w:pos="0"/>
          <w:tab w:val="left" w:pos="993"/>
        </w:tabs>
        <w:overflowPunct w:val="0"/>
        <w:autoSpaceDE w:val="0"/>
        <w:autoSpaceDN w:val="0"/>
        <w:adjustRightInd w:val="0"/>
        <w:spacing w:after="0" w:line="240" w:lineRule="auto"/>
        <w:ind w:left="0" w:firstLine="709"/>
        <w:jc w:val="both"/>
        <w:rPr>
          <w:rFonts w:ascii="Times New Roman" w:hAnsi="Times New Roman" w:cs="Times New Roman"/>
          <w:szCs w:val="24"/>
        </w:rPr>
      </w:pPr>
      <w:r w:rsidRPr="00B44D0E">
        <w:rPr>
          <w:rFonts w:ascii="Times New Roman" w:hAnsi="Times New Roman" w:cs="Times New Roman"/>
          <w:szCs w:val="24"/>
        </w:rPr>
        <w:t>о подтверждении возможности выполнения работ и оплаты за выполненные работы в течение 5 банковских дней с момента завершения выполнения всех работ в соответствии с календарным планом и подписания соответствующего акта сдачи-приемки выполненных работ</w:t>
      </w:r>
      <w:r w:rsidR="000E4A59" w:rsidRPr="00B44D0E">
        <w:rPr>
          <w:rFonts w:ascii="Times New Roman" w:hAnsi="Times New Roman" w:cs="Times New Roman"/>
          <w:szCs w:val="24"/>
        </w:rPr>
        <w:t>.</w:t>
      </w:r>
    </w:p>
    <w:p w:rsidR="003A7ACC" w:rsidRPr="00B44D0E" w:rsidRDefault="000D0A55" w:rsidP="00B44D0E">
      <w:pPr>
        <w:pStyle w:val="ConsPlusTitle"/>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Предложение участника должно быть подписано уполномоченным лицом с указанием даты, содержать контактные данные (ФИО, номер телефоны) и быть заверено оригинальной печатью.</w:t>
      </w:r>
    </w:p>
    <w:p w:rsidR="003A7ACC" w:rsidRPr="00B44D0E" w:rsidRDefault="000D0A55" w:rsidP="00B44D0E">
      <w:pPr>
        <w:pStyle w:val="ConsPlusTitle"/>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3A7ACC" w:rsidRPr="00B44D0E" w:rsidRDefault="000D0A55" w:rsidP="00B44D0E">
      <w:pPr>
        <w:pStyle w:val="ConsPlusTitle"/>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 xml:space="preserve">Критерием оценки предложений участников является стоимость </w:t>
      </w:r>
      <w:r w:rsidR="00F867EA" w:rsidRPr="00B44D0E">
        <w:rPr>
          <w:rFonts w:ascii="Times New Roman" w:hAnsi="Times New Roman" w:cs="Times New Roman"/>
          <w:b w:val="0"/>
          <w:sz w:val="24"/>
          <w:szCs w:val="24"/>
          <w:lang w:val="ru-RU"/>
        </w:rPr>
        <w:t>работ</w:t>
      </w:r>
      <w:r w:rsidRPr="00B44D0E">
        <w:rPr>
          <w:rFonts w:ascii="Times New Roman" w:hAnsi="Times New Roman" w:cs="Times New Roman"/>
          <w:b w:val="0"/>
          <w:sz w:val="24"/>
          <w:szCs w:val="24"/>
          <w:lang w:val="ru-RU"/>
        </w:rPr>
        <w:t xml:space="preserve"> при условии полного соответствия всем вышеуказанным требованиям Заказчика.</w:t>
      </w:r>
    </w:p>
    <w:p w:rsidR="003A7ACC" w:rsidRPr="00B44D0E" w:rsidRDefault="000D0A55" w:rsidP="00B44D0E">
      <w:pPr>
        <w:pStyle w:val="ConsPlusTitle"/>
        <w:spacing w:after="0"/>
        <w:ind w:firstLine="709"/>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 xml:space="preserve">Предложение участника </w:t>
      </w:r>
      <w:r w:rsidR="004B198F" w:rsidRPr="00B44D0E">
        <w:rPr>
          <w:rFonts w:ascii="Times New Roman" w:hAnsi="Times New Roman" w:cs="Times New Roman"/>
          <w:b w:val="0"/>
          <w:sz w:val="24"/>
          <w:szCs w:val="24"/>
          <w:lang w:val="ru-RU"/>
        </w:rPr>
        <w:t xml:space="preserve">  </w:t>
      </w:r>
      <w:r w:rsidRPr="00B44D0E">
        <w:rPr>
          <w:rFonts w:ascii="Times New Roman" w:hAnsi="Times New Roman" w:cs="Times New Roman"/>
          <w:b w:val="0"/>
          <w:sz w:val="24"/>
          <w:szCs w:val="24"/>
          <w:lang w:val="ru-RU"/>
        </w:rPr>
        <w:t>может</w:t>
      </w:r>
      <w:r w:rsidR="004B198F" w:rsidRPr="00B44D0E">
        <w:rPr>
          <w:rFonts w:ascii="Times New Roman" w:hAnsi="Times New Roman" w:cs="Times New Roman"/>
          <w:b w:val="0"/>
          <w:sz w:val="24"/>
          <w:szCs w:val="24"/>
          <w:lang w:val="ru-RU"/>
        </w:rPr>
        <w:t xml:space="preserve">  </w:t>
      </w:r>
      <w:r w:rsidRPr="00B44D0E">
        <w:rPr>
          <w:rFonts w:ascii="Times New Roman" w:hAnsi="Times New Roman" w:cs="Times New Roman"/>
          <w:b w:val="0"/>
          <w:sz w:val="24"/>
          <w:szCs w:val="24"/>
          <w:lang w:val="ru-RU"/>
        </w:rPr>
        <w:t xml:space="preserve"> быть передано на </w:t>
      </w:r>
      <w:r w:rsidR="004B198F" w:rsidRPr="00B44D0E">
        <w:rPr>
          <w:rFonts w:ascii="Times New Roman" w:hAnsi="Times New Roman" w:cs="Times New Roman"/>
          <w:b w:val="0"/>
          <w:sz w:val="24"/>
          <w:szCs w:val="24"/>
          <w:lang w:val="ru-RU"/>
        </w:rPr>
        <w:t xml:space="preserve">  </w:t>
      </w:r>
      <w:r w:rsidRPr="00B44D0E">
        <w:rPr>
          <w:rFonts w:ascii="Times New Roman" w:hAnsi="Times New Roman" w:cs="Times New Roman"/>
          <w:b w:val="0"/>
          <w:sz w:val="24"/>
          <w:szCs w:val="24"/>
          <w:lang w:val="ru-RU"/>
        </w:rPr>
        <w:t xml:space="preserve">факс </w:t>
      </w:r>
      <w:r w:rsidR="00F867EA" w:rsidRPr="00B44D0E">
        <w:rPr>
          <w:rFonts w:ascii="Times New Roman" w:hAnsi="Times New Roman" w:cs="Times New Roman"/>
          <w:b w:val="0"/>
          <w:sz w:val="24"/>
          <w:szCs w:val="24"/>
          <w:lang w:val="ru-RU"/>
        </w:rPr>
        <w:t>+</w:t>
      </w:r>
      <w:proofErr w:type="gramStart"/>
      <w:r w:rsidR="00F867EA" w:rsidRPr="00B44D0E">
        <w:rPr>
          <w:rFonts w:ascii="Times New Roman" w:hAnsi="Times New Roman" w:cs="Times New Roman"/>
          <w:b w:val="0"/>
          <w:sz w:val="24"/>
          <w:szCs w:val="24"/>
          <w:lang w:val="ru-RU"/>
        </w:rPr>
        <w:t>37517</w:t>
      </w:r>
      <w:r w:rsidR="00C77BDF" w:rsidRPr="00B44D0E">
        <w:rPr>
          <w:rFonts w:ascii="Times New Roman" w:hAnsi="Times New Roman" w:cs="Times New Roman"/>
          <w:b w:val="0"/>
          <w:bCs/>
          <w:sz w:val="24"/>
          <w:szCs w:val="24"/>
          <w:lang w:val="ru-RU"/>
        </w:rPr>
        <w:t xml:space="preserve">2926917 </w:t>
      </w:r>
      <w:r w:rsidRPr="00B44D0E">
        <w:rPr>
          <w:rFonts w:ascii="Times New Roman" w:hAnsi="Times New Roman" w:cs="Times New Roman"/>
          <w:b w:val="0"/>
          <w:sz w:val="24"/>
          <w:szCs w:val="24"/>
          <w:lang w:val="ru-RU"/>
        </w:rPr>
        <w:t xml:space="preserve"> или</w:t>
      </w:r>
      <w:proofErr w:type="gramEnd"/>
      <w:r w:rsidRPr="00B44D0E">
        <w:rPr>
          <w:rFonts w:ascii="Times New Roman" w:hAnsi="Times New Roman" w:cs="Times New Roman"/>
          <w:b w:val="0"/>
          <w:sz w:val="24"/>
          <w:szCs w:val="24"/>
          <w:lang w:val="ru-RU"/>
        </w:rPr>
        <w:t xml:space="preserve"> доставлено по адресу: 220013 г.Минск ул.Беломорская,18 комн.</w:t>
      </w:r>
      <w:r w:rsidR="00C77BDF" w:rsidRPr="00B44D0E">
        <w:rPr>
          <w:rFonts w:ascii="Times New Roman" w:hAnsi="Times New Roman" w:cs="Times New Roman"/>
          <w:b w:val="0"/>
          <w:sz w:val="24"/>
          <w:szCs w:val="24"/>
          <w:lang w:val="ru-RU"/>
        </w:rPr>
        <w:t>7</w:t>
      </w:r>
      <w:r w:rsidRPr="00B44D0E">
        <w:rPr>
          <w:rFonts w:ascii="Times New Roman" w:hAnsi="Times New Roman" w:cs="Times New Roman"/>
          <w:b w:val="0"/>
          <w:sz w:val="24"/>
          <w:szCs w:val="24"/>
          <w:lang w:val="ru-RU"/>
        </w:rPr>
        <w:t xml:space="preserve"> или по электронной почте </w:t>
      </w:r>
      <w:proofErr w:type="spellStart"/>
      <w:r w:rsidR="0044061C" w:rsidRPr="00B44D0E">
        <w:rPr>
          <w:rFonts w:ascii="Times New Roman" w:hAnsi="Times New Roman" w:cs="Times New Roman"/>
          <w:b w:val="0"/>
          <w:sz w:val="24"/>
          <w:szCs w:val="24"/>
        </w:rPr>
        <w:t>m</w:t>
      </w:r>
      <w:r w:rsidR="00C77BDF" w:rsidRPr="00B44D0E">
        <w:rPr>
          <w:rFonts w:ascii="Times New Roman" w:hAnsi="Times New Roman" w:cs="Times New Roman"/>
          <w:b w:val="0"/>
          <w:sz w:val="24"/>
          <w:szCs w:val="24"/>
        </w:rPr>
        <w:t>elnihuk</w:t>
      </w:r>
      <w:proofErr w:type="spellEnd"/>
      <w:r w:rsidR="0044061C" w:rsidRPr="00B44D0E">
        <w:rPr>
          <w:rFonts w:ascii="Times New Roman" w:hAnsi="Times New Roman" w:cs="Times New Roman"/>
          <w:b w:val="0"/>
          <w:sz w:val="24"/>
          <w:szCs w:val="24"/>
          <w:lang w:val="ru-RU"/>
        </w:rPr>
        <w:t>@</w:t>
      </w:r>
      <w:proofErr w:type="spellStart"/>
      <w:r w:rsidR="0044061C" w:rsidRPr="00B44D0E">
        <w:rPr>
          <w:rFonts w:ascii="Times New Roman" w:hAnsi="Times New Roman" w:cs="Times New Roman"/>
          <w:b w:val="0"/>
          <w:sz w:val="24"/>
          <w:szCs w:val="24"/>
        </w:rPr>
        <w:t>mgts</w:t>
      </w:r>
      <w:proofErr w:type="spellEnd"/>
      <w:r w:rsidR="0044061C" w:rsidRPr="00B44D0E">
        <w:rPr>
          <w:rFonts w:ascii="Times New Roman" w:hAnsi="Times New Roman" w:cs="Times New Roman"/>
          <w:b w:val="0"/>
          <w:sz w:val="24"/>
          <w:szCs w:val="24"/>
          <w:lang w:val="ru-RU"/>
        </w:rPr>
        <w:t>.</w:t>
      </w:r>
      <w:r w:rsidR="0044061C" w:rsidRPr="00B44D0E">
        <w:rPr>
          <w:rFonts w:ascii="Times New Roman" w:hAnsi="Times New Roman" w:cs="Times New Roman"/>
          <w:b w:val="0"/>
          <w:sz w:val="24"/>
          <w:szCs w:val="24"/>
        </w:rPr>
        <w:t>by</w:t>
      </w:r>
      <w:r w:rsidRPr="00B44D0E">
        <w:rPr>
          <w:rFonts w:ascii="Times New Roman" w:hAnsi="Times New Roman" w:cs="Times New Roman"/>
          <w:b w:val="0"/>
          <w:sz w:val="24"/>
          <w:szCs w:val="24"/>
          <w:lang w:val="ru-RU"/>
        </w:rPr>
        <w:t xml:space="preserve"> до </w:t>
      </w:r>
      <w:r w:rsidR="00983567" w:rsidRPr="00B44D0E">
        <w:rPr>
          <w:rFonts w:ascii="Times New Roman" w:hAnsi="Times New Roman" w:cs="Times New Roman"/>
          <w:b w:val="0"/>
          <w:sz w:val="24"/>
          <w:szCs w:val="24"/>
          <w:lang w:val="ru-RU"/>
        </w:rPr>
        <w:t>10:00 1</w:t>
      </w:r>
      <w:r w:rsidR="00236DAC">
        <w:rPr>
          <w:rFonts w:ascii="Times New Roman" w:hAnsi="Times New Roman" w:cs="Times New Roman"/>
          <w:b w:val="0"/>
          <w:sz w:val="24"/>
          <w:szCs w:val="24"/>
          <w:lang w:val="ru-RU"/>
        </w:rPr>
        <w:t>8</w:t>
      </w:r>
      <w:bookmarkStart w:id="0" w:name="_GoBack"/>
      <w:bookmarkEnd w:id="0"/>
      <w:r w:rsidR="00C77BDF" w:rsidRPr="00B44D0E">
        <w:rPr>
          <w:rFonts w:ascii="Times New Roman" w:hAnsi="Times New Roman" w:cs="Times New Roman"/>
          <w:b w:val="0"/>
          <w:bCs/>
          <w:sz w:val="24"/>
          <w:szCs w:val="24"/>
          <w:lang w:val="ru-RU"/>
        </w:rPr>
        <w:t xml:space="preserve"> марта 2025.</w:t>
      </w:r>
    </w:p>
    <w:p w:rsidR="003A7ACC" w:rsidRPr="00B44D0E" w:rsidRDefault="000D0A55" w:rsidP="00B44D0E">
      <w:pPr>
        <w:pStyle w:val="ConsPlusTitle"/>
        <w:spacing w:after="0"/>
        <w:ind w:firstLineChars="250" w:firstLine="600"/>
        <w:jc w:val="both"/>
        <w:rPr>
          <w:rFonts w:ascii="Times New Roman" w:hAnsi="Times New Roman" w:cs="Times New Roman"/>
          <w:b w:val="0"/>
          <w:sz w:val="24"/>
          <w:szCs w:val="24"/>
          <w:lang w:val="ru-RU"/>
        </w:rPr>
      </w:pPr>
      <w:r w:rsidRPr="00B44D0E">
        <w:rPr>
          <w:rFonts w:ascii="Times New Roman" w:hAnsi="Times New Roman" w:cs="Times New Roman"/>
          <w:b w:val="0"/>
          <w:sz w:val="24"/>
          <w:szCs w:val="24"/>
          <w:lang w:val="ru-RU"/>
        </w:rPr>
        <w:t xml:space="preserve">Ответственное лицо за предмет закупки с учётом данных участников при проведении процедуры закупки: </w:t>
      </w:r>
      <w:r w:rsidR="0044061C" w:rsidRPr="00B44D0E">
        <w:rPr>
          <w:rFonts w:ascii="Times New Roman" w:hAnsi="Times New Roman" w:cs="Times New Roman"/>
          <w:b w:val="0"/>
          <w:sz w:val="24"/>
          <w:szCs w:val="24"/>
          <w:lang w:val="ru-RU"/>
        </w:rPr>
        <w:t>Ме</w:t>
      </w:r>
      <w:r w:rsidR="00C77BDF" w:rsidRPr="00B44D0E">
        <w:rPr>
          <w:rFonts w:ascii="Times New Roman" w:hAnsi="Times New Roman" w:cs="Times New Roman"/>
          <w:b w:val="0"/>
          <w:sz w:val="24"/>
          <w:szCs w:val="24"/>
          <w:lang w:val="ru-RU"/>
        </w:rPr>
        <w:t>льничук Елена Евгеньевна +375173311074,</w:t>
      </w:r>
      <w:r w:rsidR="00F867EA" w:rsidRPr="00B44D0E">
        <w:rPr>
          <w:rFonts w:ascii="Times New Roman" w:hAnsi="Times New Roman" w:cs="Times New Roman"/>
          <w:b w:val="0"/>
          <w:sz w:val="24"/>
          <w:szCs w:val="24"/>
          <w:lang w:val="ru-RU"/>
        </w:rPr>
        <w:t xml:space="preserve"> +37533</w:t>
      </w:r>
      <w:r w:rsidR="00C77BDF" w:rsidRPr="00B44D0E">
        <w:rPr>
          <w:rFonts w:ascii="Times New Roman" w:hAnsi="Times New Roman" w:cs="Times New Roman"/>
          <w:b w:val="0"/>
          <w:sz w:val="24"/>
          <w:szCs w:val="24"/>
          <w:lang w:val="ru-RU"/>
        </w:rPr>
        <w:t>6033813</w:t>
      </w:r>
      <w:r w:rsidRPr="00B44D0E">
        <w:rPr>
          <w:rFonts w:ascii="Times New Roman" w:hAnsi="Times New Roman" w:cs="Times New Roman"/>
          <w:b w:val="0"/>
          <w:sz w:val="24"/>
          <w:szCs w:val="24"/>
          <w:lang w:val="ru-RU"/>
        </w:rPr>
        <w:t>.</w:t>
      </w:r>
    </w:p>
    <w:p w:rsidR="00613A66" w:rsidRDefault="00613A66" w:rsidP="00BF6094">
      <w:pPr>
        <w:pStyle w:val="ConsPlusTitle"/>
        <w:ind w:firstLineChars="250" w:firstLine="750"/>
        <w:jc w:val="both"/>
        <w:rPr>
          <w:rFonts w:ascii="Times New Roman" w:hAnsi="Times New Roman" w:cs="Times New Roman"/>
          <w:b w:val="0"/>
          <w:sz w:val="30"/>
          <w:szCs w:val="30"/>
          <w:lang w:val="ru-RU"/>
        </w:rPr>
      </w:pPr>
    </w:p>
    <w:p w:rsidR="005F11DF" w:rsidRPr="005F11DF" w:rsidRDefault="005F11DF" w:rsidP="005F11DF">
      <w:pPr>
        <w:widowControl w:val="0"/>
        <w:tabs>
          <w:tab w:val="left" w:pos="709"/>
        </w:tabs>
        <w:autoSpaceDE w:val="0"/>
        <w:autoSpaceDN w:val="0"/>
        <w:adjustRightInd w:val="0"/>
        <w:spacing w:after="0" w:line="240" w:lineRule="auto"/>
        <w:jc w:val="both"/>
        <w:rPr>
          <w:rFonts w:ascii="Times New Roman" w:eastAsia="SimSun" w:hAnsi="Times New Roman" w:cs="Times New Roman"/>
          <w:sz w:val="30"/>
          <w:szCs w:val="30"/>
          <w:lang w:val="be-BY"/>
        </w:rPr>
      </w:pPr>
      <w:r w:rsidRPr="005F11DF">
        <w:rPr>
          <w:rFonts w:ascii="Times New Roman" w:eastAsia="SimSun" w:hAnsi="Times New Roman" w:cs="Times New Roman"/>
          <w:sz w:val="30"/>
          <w:szCs w:val="30"/>
          <w:lang w:val="be-BY"/>
        </w:rPr>
        <w:tab/>
      </w:r>
      <w:r w:rsidRPr="005F11DF">
        <w:rPr>
          <w:rFonts w:ascii="Times New Roman" w:eastAsia="SimSun" w:hAnsi="Times New Roman" w:cs="Times New Roman"/>
          <w:sz w:val="30"/>
          <w:szCs w:val="30"/>
          <w:lang w:val="be-BY"/>
        </w:rPr>
        <w:tab/>
      </w:r>
      <w:r w:rsidRPr="005F11DF">
        <w:rPr>
          <w:rFonts w:ascii="Times New Roman" w:eastAsia="SimSun" w:hAnsi="Times New Roman" w:cs="Times New Roman"/>
          <w:sz w:val="30"/>
          <w:szCs w:val="30"/>
          <w:lang w:val="be-BY"/>
        </w:rPr>
        <w:tab/>
      </w:r>
      <w:r w:rsidRPr="005F11DF">
        <w:rPr>
          <w:rFonts w:ascii="Times New Roman" w:eastAsia="SimSun" w:hAnsi="Times New Roman" w:cs="Times New Roman"/>
          <w:sz w:val="30"/>
          <w:szCs w:val="30"/>
          <w:lang w:val="be-BY"/>
        </w:rPr>
        <w:tab/>
      </w:r>
      <w:r w:rsidRPr="005F11DF">
        <w:rPr>
          <w:rFonts w:ascii="Times New Roman" w:eastAsia="SimSun" w:hAnsi="Times New Roman" w:cs="Times New Roman"/>
          <w:sz w:val="30"/>
          <w:szCs w:val="30"/>
          <w:lang w:val="be-BY"/>
        </w:rPr>
        <w:tab/>
      </w:r>
      <w:r w:rsidRPr="005F11DF">
        <w:rPr>
          <w:rFonts w:ascii="Times New Roman" w:eastAsia="SimSun" w:hAnsi="Times New Roman" w:cs="Times New Roman"/>
          <w:sz w:val="30"/>
          <w:szCs w:val="30"/>
          <w:lang w:val="be-BY"/>
        </w:rPr>
        <w:tab/>
      </w:r>
      <w:r w:rsidRPr="005F11DF">
        <w:rPr>
          <w:rFonts w:ascii="Times New Roman" w:eastAsia="SimSun" w:hAnsi="Times New Roman" w:cs="Times New Roman"/>
          <w:sz w:val="30"/>
          <w:szCs w:val="30"/>
          <w:lang w:val="be-BY"/>
        </w:rPr>
        <w:tab/>
      </w:r>
      <w:r w:rsidRPr="005F11DF">
        <w:rPr>
          <w:rFonts w:ascii="Times New Roman" w:eastAsia="SimSun" w:hAnsi="Times New Roman" w:cs="Times New Roman"/>
          <w:sz w:val="30"/>
          <w:szCs w:val="30"/>
          <w:lang w:val="be-BY"/>
        </w:rPr>
        <w:tab/>
      </w: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5F11DF" w:rsidRPr="005F11DF" w:rsidRDefault="005F11DF" w:rsidP="005F11DF">
      <w:pPr>
        <w:spacing w:after="0" w:line="240" w:lineRule="auto"/>
        <w:rPr>
          <w:rFonts w:ascii="Times New Roman" w:eastAsia="SimSun" w:hAnsi="Times New Roman" w:cs="Times New Roman"/>
          <w:sz w:val="18"/>
          <w:szCs w:val="18"/>
          <w:lang w:eastAsia="en-US"/>
        </w:rPr>
      </w:pPr>
    </w:p>
    <w:p w:rsidR="00613A66" w:rsidRDefault="00613A66" w:rsidP="00BF6094">
      <w:pPr>
        <w:pStyle w:val="ConsPlusTitle"/>
        <w:ind w:firstLineChars="250" w:firstLine="750"/>
        <w:jc w:val="both"/>
        <w:rPr>
          <w:rFonts w:ascii="Times New Roman" w:hAnsi="Times New Roman" w:cs="Times New Roman"/>
          <w:b w:val="0"/>
          <w:sz w:val="30"/>
          <w:szCs w:val="30"/>
          <w:lang w:val="ru-RU"/>
        </w:rPr>
      </w:pPr>
    </w:p>
    <w:p w:rsidR="00613A66" w:rsidRPr="00FC3F45" w:rsidRDefault="00613A66" w:rsidP="00613A66">
      <w:pPr>
        <w:pStyle w:val="ConsPlusTitle"/>
        <w:jc w:val="both"/>
        <w:rPr>
          <w:rFonts w:ascii="Times New Roman" w:hAnsi="Times New Roman" w:cs="Times New Roman"/>
          <w:b w:val="0"/>
          <w:sz w:val="30"/>
          <w:szCs w:val="30"/>
          <w:lang w:val="ru-RU"/>
        </w:rPr>
      </w:pPr>
    </w:p>
    <w:p w:rsidR="003A7ACC" w:rsidRPr="00FC3F45" w:rsidRDefault="000D0A55" w:rsidP="00BF6094">
      <w:pPr>
        <w:ind w:firstLine="709"/>
        <w:rPr>
          <w:rFonts w:ascii="Times New Roman" w:hAnsi="Times New Roman" w:cs="Times New Roman"/>
          <w:sz w:val="30"/>
          <w:szCs w:val="30"/>
        </w:rPr>
      </w:pPr>
      <w:r w:rsidRPr="00FC3F45">
        <w:rPr>
          <w:rFonts w:ascii="Times New Roman" w:hAnsi="Times New Roman" w:cs="Times New Roman"/>
          <w:sz w:val="30"/>
          <w:szCs w:val="30"/>
        </w:rPr>
        <w:br/>
      </w:r>
    </w:p>
    <w:p w:rsidR="00FC3F45" w:rsidRPr="00FC3F45" w:rsidRDefault="00FC3F45">
      <w:pPr>
        <w:ind w:firstLine="709"/>
        <w:rPr>
          <w:rFonts w:ascii="Times New Roman" w:hAnsi="Times New Roman" w:cs="Times New Roman"/>
          <w:sz w:val="30"/>
          <w:szCs w:val="30"/>
        </w:rPr>
      </w:pPr>
    </w:p>
    <w:sectPr w:rsidR="00FC3F45" w:rsidRPr="00FC3F45" w:rsidSect="00B44D0E">
      <w:pgSz w:w="11906" w:h="16838"/>
      <w:pgMar w:top="851" w:right="849"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6122C"/>
    <w:multiLevelType w:val="multilevel"/>
    <w:tmpl w:val="AB08C122"/>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41E2383"/>
    <w:multiLevelType w:val="hybridMultilevel"/>
    <w:tmpl w:val="2F0062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AD13538"/>
    <w:multiLevelType w:val="hybridMultilevel"/>
    <w:tmpl w:val="AB94C1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DA5EAA"/>
    <w:rsid w:val="000D0A55"/>
    <w:rsid w:val="000E4A59"/>
    <w:rsid w:val="0018444E"/>
    <w:rsid w:val="001B7F9C"/>
    <w:rsid w:val="001F39E5"/>
    <w:rsid w:val="00236DAC"/>
    <w:rsid w:val="002F43BB"/>
    <w:rsid w:val="0035595C"/>
    <w:rsid w:val="00373EEC"/>
    <w:rsid w:val="003A7ACC"/>
    <w:rsid w:val="0044061C"/>
    <w:rsid w:val="004B198F"/>
    <w:rsid w:val="00540E9F"/>
    <w:rsid w:val="00572AB8"/>
    <w:rsid w:val="005F11DF"/>
    <w:rsid w:val="00613A66"/>
    <w:rsid w:val="006714A1"/>
    <w:rsid w:val="00771385"/>
    <w:rsid w:val="007E1099"/>
    <w:rsid w:val="00844E45"/>
    <w:rsid w:val="008E119F"/>
    <w:rsid w:val="008E3E95"/>
    <w:rsid w:val="0092727A"/>
    <w:rsid w:val="00983567"/>
    <w:rsid w:val="00A109B8"/>
    <w:rsid w:val="00B056DC"/>
    <w:rsid w:val="00B22B88"/>
    <w:rsid w:val="00B44D0E"/>
    <w:rsid w:val="00BC2DB0"/>
    <w:rsid w:val="00BF6094"/>
    <w:rsid w:val="00C07584"/>
    <w:rsid w:val="00C77BDF"/>
    <w:rsid w:val="00CD0A12"/>
    <w:rsid w:val="00D14F4B"/>
    <w:rsid w:val="00D7119B"/>
    <w:rsid w:val="00DC72E9"/>
    <w:rsid w:val="00E67820"/>
    <w:rsid w:val="00F04901"/>
    <w:rsid w:val="00F55062"/>
    <w:rsid w:val="00F867EA"/>
    <w:rsid w:val="00FC3F45"/>
    <w:rsid w:val="71DA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2B453"/>
  <w15:docId w15:val="{F2631BFE-9DF6-4A81-AEA8-1705085E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rPr>
      <w:color w:val="0000FF"/>
      <w:u w:val="single"/>
    </w:rPr>
  </w:style>
  <w:style w:type="paragraph" w:customStyle="1" w:styleId="ConsPlusTitle">
    <w:name w:val="ConsPlusTitle"/>
    <w:pPr>
      <w:widowControl w:val="0"/>
      <w:autoSpaceDE w:val="0"/>
      <w:autoSpaceDN w:val="0"/>
    </w:pPr>
    <w:rPr>
      <w:rFonts w:ascii="Calibri" w:hAnsi="Calibri" w:cs="Calibri"/>
      <w:b/>
      <w:sz w:val="22"/>
      <w:szCs w:val="22"/>
    </w:rPr>
  </w:style>
  <w:style w:type="paragraph" w:styleId="a5">
    <w:name w:val="Body Text Indent"/>
    <w:basedOn w:val="a"/>
    <w:link w:val="a6"/>
    <w:rsid w:val="0092727A"/>
    <w:pPr>
      <w:widowControl w:val="0"/>
      <w:suppressAutoHyphens/>
      <w:spacing w:before="120" w:after="0" w:line="240" w:lineRule="auto"/>
      <w:ind w:firstLine="720"/>
      <w:jc w:val="both"/>
    </w:pPr>
    <w:rPr>
      <w:rFonts w:ascii="Times New Roman" w:eastAsia="Times New Roman" w:hAnsi="Times New Roman" w:cs="Times New Roman"/>
      <w:sz w:val="28"/>
      <w:szCs w:val="28"/>
      <w:lang w:eastAsia="zh-CN"/>
    </w:rPr>
  </w:style>
  <w:style w:type="character" w:customStyle="1" w:styleId="a6">
    <w:name w:val="Основной текст с отступом Знак"/>
    <w:basedOn w:val="a0"/>
    <w:link w:val="a5"/>
    <w:rsid w:val="0092727A"/>
    <w:rPr>
      <w:rFonts w:ascii="Times New Roman" w:eastAsia="Times New Roman" w:hAnsi="Times New Roman" w:cs="Times New Roman"/>
      <w:sz w:val="28"/>
      <w:szCs w:val="28"/>
      <w:lang w:val="ru-RU" w:eastAsia="zh-CN"/>
    </w:rPr>
  </w:style>
  <w:style w:type="paragraph" w:styleId="a7">
    <w:name w:val="Balloon Text"/>
    <w:basedOn w:val="a"/>
    <w:link w:val="a8"/>
    <w:rsid w:val="00A109B8"/>
    <w:pPr>
      <w:spacing w:after="0" w:line="240" w:lineRule="auto"/>
    </w:pPr>
    <w:rPr>
      <w:rFonts w:ascii="Segoe UI" w:hAnsi="Segoe UI" w:cs="Segoe UI"/>
      <w:sz w:val="18"/>
      <w:szCs w:val="18"/>
    </w:rPr>
  </w:style>
  <w:style w:type="character" w:customStyle="1" w:styleId="a8">
    <w:name w:val="Текст выноски Знак"/>
    <w:basedOn w:val="a0"/>
    <w:link w:val="a7"/>
    <w:rsid w:val="00A109B8"/>
    <w:rPr>
      <w:rFonts w:ascii="Segoe UI" w:hAnsi="Segoe UI" w:cs="Segoe UI"/>
      <w:sz w:val="18"/>
      <w:szCs w:val="18"/>
      <w:lang w:val="ru-RU" w:eastAsia="ru-RU"/>
    </w:rPr>
  </w:style>
  <w:style w:type="paragraph" w:styleId="2">
    <w:name w:val="Body Text Indent 2"/>
    <w:basedOn w:val="a"/>
    <w:link w:val="20"/>
    <w:rsid w:val="00C07584"/>
    <w:pPr>
      <w:spacing w:after="120" w:line="480" w:lineRule="auto"/>
      <w:ind w:left="283"/>
    </w:pPr>
  </w:style>
  <w:style w:type="character" w:customStyle="1" w:styleId="20">
    <w:name w:val="Основной текст с отступом 2 Знак"/>
    <w:basedOn w:val="a0"/>
    <w:link w:val="2"/>
    <w:rsid w:val="00C07584"/>
    <w:rPr>
      <w:sz w:val="24"/>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A42A8-074C-4050-93D4-3F8C7105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Pages>
  <Words>1221</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Nikiforova_A</dc:creator>
  <cp:lastModifiedBy>Светлана Г. Федосюк</cp:lastModifiedBy>
  <cp:revision>81</cp:revision>
  <cp:lastPrinted>2025-03-06T07:59:00Z</cp:lastPrinted>
  <dcterms:created xsi:type="dcterms:W3CDTF">2024-11-26T11:34:00Z</dcterms:created>
  <dcterms:modified xsi:type="dcterms:W3CDTF">2025-03-06T12:22:00Z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1049-10.2.0.5978</vt:lpwstr>
  </property>
</Properties>
</file>