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B4229E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</w:t>
      </w:r>
      <w:r w:rsidR="00D23F0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ТН</w:t>
      </w:r>
      <w:r w:rsidR="00E7018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/25/ЦЭЗС-</w:t>
      </w:r>
      <w:r w:rsidR="009A3CD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36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133561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инженерных услуг по ведению технического надзора за выполнением работ по строительству объекта: </w:t>
      </w:r>
      <w:r w:rsidR="009409E5" w:rsidRPr="009409E5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«Реконструкция здания специализированного связи по пер. Охотскому, 21 в г. Минске»</w:t>
      </w:r>
      <w:r w:rsidR="00030A6E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>
        <w:rPr>
          <w:lang w:eastAsia="ru-RU"/>
        </w:rPr>
        <w:t xml:space="preserve">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48524B" w:rsidRDefault="00355307" w:rsidP="0048524B">
      <w:pPr>
        <w:pStyle w:val="a4"/>
        <w:spacing w:before="0"/>
        <w:ind w:firstLine="709"/>
        <w:rPr>
          <w:iCs/>
        </w:rPr>
      </w:pPr>
      <w:r w:rsidRPr="0048524B">
        <w:t>Необходимо выполнить:</w:t>
      </w:r>
      <w:r w:rsidR="00594832" w:rsidRPr="0048524B">
        <w:rPr>
          <w:iCs/>
          <w:lang w:eastAsia="ar-SA"/>
        </w:rPr>
        <w:t xml:space="preserve"> </w:t>
      </w:r>
      <w:r w:rsidR="0048524B" w:rsidRPr="0048524B">
        <w:rPr>
          <w:iCs/>
          <w:lang w:eastAsia="ar-SA"/>
        </w:rPr>
        <w:t xml:space="preserve">оказание </w:t>
      </w:r>
      <w:r w:rsidR="0048524B" w:rsidRPr="0048524B">
        <w:rPr>
          <w:iCs/>
        </w:rPr>
        <w:t xml:space="preserve">инженерных услуг по ведению технического надзора за выполнением работ по строительству объекта: </w:t>
      </w:r>
      <w:r w:rsidR="009409E5" w:rsidRPr="009409E5">
        <w:rPr>
          <w:iCs/>
        </w:rPr>
        <w:t>«Реконструкция здания специализированного связи по пер. Охотскому, 21 в г. Минске»</w:t>
      </w:r>
      <w:r w:rsidR="0048524B">
        <w:rPr>
          <w:iCs/>
        </w:rPr>
        <w:t>.</w:t>
      </w:r>
    </w:p>
    <w:p w:rsidR="00E14B66" w:rsidRPr="00970AE7" w:rsidRDefault="009409E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409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Ориентировочная цена закупки на дату завершения работ составляет: </w:t>
      </w:r>
      <w:bookmarkStart w:id="0" w:name="_GoBack"/>
      <w:r w:rsidRPr="009409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205 775,15</w:t>
      </w:r>
      <w:bookmarkEnd w:id="0"/>
      <w:r w:rsidRPr="009409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(Двести пять тысяч семьсот семьдесят пять</w:t>
      </w:r>
      <w:r w:rsidR="00483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09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 15 коп.) BYN, в том числе НДС 20 % – 34 295,86 (Тридцать четыре тысячи двести девяносто пять руб. 86 коп.) BYN.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4B66" w:rsidRPr="005D2F7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Стоимость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9A3CD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01</w:t>
      </w:r>
      <w:r w:rsid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9A3CD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июня</w:t>
      </w:r>
      <w:r w:rsidR="0048524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2025г. до ввода объекта в эксплуатацию.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При несоответствии объемов и требований к выполняемой работе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с </w:t>
      </w:r>
      <w:r w:rsidR="004A0FA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10</w:t>
      </w:r>
      <w:r w:rsidR="00D23F0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4A0FA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00</w:t>
      </w:r>
      <w:r w:rsidR="00D23F0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«</w:t>
      </w:r>
      <w:r w:rsidR="009A3CD2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16</w:t>
      </w:r>
      <w:r w:rsidR="00D23F0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» </w:t>
      </w:r>
      <w:r w:rsidR="009A3CD2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мая</w:t>
      </w:r>
      <w:r w:rsidR="00D23F0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</w:t>
      </w:r>
      <w:r w:rsidR="004A0FA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5</w:t>
      </w:r>
      <w:r w:rsidR="00B0331A" w:rsidRP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г.</w:t>
      </w:r>
      <w:r w:rsid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A0FA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 г. Минск,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ул. </w:t>
      </w:r>
      <w:r w:rsidR="004A0FA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Беломорская, 18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кабинет </w:t>
      </w:r>
      <w:r w:rsid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9A3CD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</w:t>
      </w:r>
      <w:r w:rsidR="00334EF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мая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</w:t>
      </w:r>
      <w:r w:rsidR="00334EF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</w:t>
      </w:r>
      <w:r w:rsidR="0000547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08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00547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до </w:t>
      </w:r>
      <w:r w:rsidR="0048524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09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9A3CD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9A3CD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мая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инск, ул. 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Беломорская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1</w:t>
      </w:r>
      <w:r w:rsidR="00DC218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8</w:t>
      </w:r>
      <w:r w:rsidR="00D23F0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каб.</w:t>
      </w:r>
      <w:r w:rsid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0E21F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(тридцати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о которых указано в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AF279E" w:rsidRPr="00AF279E" w:rsidRDefault="00AB159D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ab/>
      </w:r>
      <w:r w:rsidR="00AF279E" w:rsidRPr="00AF279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техническая часть, выдача конкурсных документов </w:t>
      </w:r>
    </w:p>
    <w:p w:rsidR="00483E3F" w:rsidRPr="00483E3F" w:rsidRDefault="00483E3F" w:rsidP="00483E3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Инженер по техническому надзору за строительством ЦЭЗС Ганцук Дмитрий Александрович тел. + (375 17) 292-04-25;</w:t>
      </w:r>
    </w:p>
    <w:p w:rsidR="00AF279E" w:rsidRPr="00AF279E" w:rsidRDefault="00483E3F" w:rsidP="00483E3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Начальник ЦЭЗС </w:t>
      </w:r>
      <w:proofErr w:type="spellStart"/>
      <w:r w:rsidRP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Волохович</w:t>
      </w:r>
      <w:proofErr w:type="spellEnd"/>
      <w:r w:rsidRPr="00483E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Светлана Михайловна тел./факс + (375 17) 292-69-17.</w:t>
      </w:r>
    </w:p>
    <w:p w:rsidR="00AF279E" w:rsidRPr="00AF279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Cy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47B"/>
    <w:rsid w:val="00006812"/>
    <w:rsid w:val="00007292"/>
    <w:rsid w:val="00030A6E"/>
    <w:rsid w:val="00084070"/>
    <w:rsid w:val="000E21F1"/>
    <w:rsid w:val="00133561"/>
    <w:rsid w:val="001925A4"/>
    <w:rsid w:val="00272EB3"/>
    <w:rsid w:val="00284333"/>
    <w:rsid w:val="002C6822"/>
    <w:rsid w:val="00302705"/>
    <w:rsid w:val="00334EF4"/>
    <w:rsid w:val="0035006E"/>
    <w:rsid w:val="00355307"/>
    <w:rsid w:val="003A52E1"/>
    <w:rsid w:val="003A79A3"/>
    <w:rsid w:val="004823E2"/>
    <w:rsid w:val="00483E3F"/>
    <w:rsid w:val="0048524B"/>
    <w:rsid w:val="00491AEF"/>
    <w:rsid w:val="004A0FAD"/>
    <w:rsid w:val="004B4197"/>
    <w:rsid w:val="004C12C4"/>
    <w:rsid w:val="00576C6B"/>
    <w:rsid w:val="00594832"/>
    <w:rsid w:val="005A28FE"/>
    <w:rsid w:val="005D2F76"/>
    <w:rsid w:val="00661324"/>
    <w:rsid w:val="006918C8"/>
    <w:rsid w:val="006E5FD2"/>
    <w:rsid w:val="00706D83"/>
    <w:rsid w:val="007A0444"/>
    <w:rsid w:val="007A44AD"/>
    <w:rsid w:val="007A6103"/>
    <w:rsid w:val="008B56EA"/>
    <w:rsid w:val="009409E5"/>
    <w:rsid w:val="00970AE7"/>
    <w:rsid w:val="009A3CD2"/>
    <w:rsid w:val="00A349BA"/>
    <w:rsid w:val="00A70E9F"/>
    <w:rsid w:val="00A761E7"/>
    <w:rsid w:val="00AB159D"/>
    <w:rsid w:val="00AE6F16"/>
    <w:rsid w:val="00AF279E"/>
    <w:rsid w:val="00B0331A"/>
    <w:rsid w:val="00B13131"/>
    <w:rsid w:val="00B4229E"/>
    <w:rsid w:val="00B52AC2"/>
    <w:rsid w:val="00B61560"/>
    <w:rsid w:val="00BD03FE"/>
    <w:rsid w:val="00CA70BE"/>
    <w:rsid w:val="00CB5AD8"/>
    <w:rsid w:val="00CE50DE"/>
    <w:rsid w:val="00D16680"/>
    <w:rsid w:val="00D23F0D"/>
    <w:rsid w:val="00D4602D"/>
    <w:rsid w:val="00DC218C"/>
    <w:rsid w:val="00DC2E63"/>
    <w:rsid w:val="00DE48AA"/>
    <w:rsid w:val="00E14B66"/>
    <w:rsid w:val="00E6549C"/>
    <w:rsid w:val="00E70182"/>
    <w:rsid w:val="00F212D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32F5-219B-401A-8D08-5BF839AC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5</cp:revision>
  <cp:lastPrinted>2025-05-15T09:29:00Z</cp:lastPrinted>
  <dcterms:created xsi:type="dcterms:W3CDTF">2025-05-15T09:23:00Z</dcterms:created>
  <dcterms:modified xsi:type="dcterms:W3CDTF">2025-05-15T13:49:00Z</dcterms:modified>
</cp:coreProperties>
</file>